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4B1" w:rsidRDefault="008E04B1" w:rsidP="0076613D"/>
    <w:p w:rsidR="008E04B1" w:rsidRDefault="008E04B1" w:rsidP="0076613D"/>
    <w:p w:rsidR="008E04B1" w:rsidRDefault="008E04B1" w:rsidP="0076613D"/>
    <w:p w:rsidR="008E04B1" w:rsidRDefault="008E04B1" w:rsidP="0076613D"/>
    <w:p w:rsidR="008E04B1" w:rsidRDefault="008E04B1" w:rsidP="0076613D"/>
    <w:p w:rsidR="008E04B1" w:rsidRPr="0076613D" w:rsidRDefault="008E04B1" w:rsidP="0076613D"/>
    <w:p w:rsidR="008E04B1" w:rsidRPr="0076613D" w:rsidRDefault="008E04B1" w:rsidP="0076613D"/>
    <w:p w:rsidR="008E04B1" w:rsidRPr="0076613D" w:rsidRDefault="008E04B1" w:rsidP="0076613D"/>
    <w:p w:rsidR="008E04B1" w:rsidRPr="0076613D" w:rsidRDefault="008E04B1" w:rsidP="0076613D"/>
    <w:p w:rsidR="008E04B1" w:rsidRPr="007F0A4A" w:rsidRDefault="008E04B1" w:rsidP="005A37BD">
      <w:pPr>
        <w:pStyle w:val="Bezmezer"/>
        <w:pBdr>
          <w:top w:val="single" w:sz="18" w:space="1" w:color="auto"/>
          <w:bottom w:val="single" w:sz="18" w:space="1" w:color="auto"/>
        </w:pBdr>
        <w:spacing w:before="120"/>
        <w:jc w:val="center"/>
        <w:rPr>
          <w:rFonts w:ascii="Garamond" w:hAnsi="Garamond"/>
          <w:b/>
          <w:sz w:val="72"/>
        </w:rPr>
      </w:pPr>
      <w:r>
        <w:rPr>
          <w:rFonts w:ascii="Garamond" w:hAnsi="Garamond"/>
          <w:b/>
          <w:sz w:val="72"/>
        </w:rPr>
        <w:t>M</w:t>
      </w:r>
      <w:r w:rsidRPr="007F0A4A">
        <w:rPr>
          <w:rFonts w:ascii="Garamond" w:hAnsi="Garamond"/>
          <w:b/>
          <w:sz w:val="72"/>
        </w:rPr>
        <w:t xml:space="preserve">ezinárodní iniciativy </w:t>
      </w:r>
      <w:r w:rsidRPr="007F0A4A">
        <w:rPr>
          <w:rFonts w:ascii="Garamond" w:hAnsi="Garamond"/>
          <w:b/>
          <w:sz w:val="72"/>
        </w:rPr>
        <w:br/>
        <w:t xml:space="preserve">proti vyhýbání se daňovým povinnostem </w:t>
      </w:r>
      <w:r w:rsidRPr="007F0A4A">
        <w:rPr>
          <w:rFonts w:ascii="Garamond" w:hAnsi="Garamond"/>
          <w:b/>
          <w:sz w:val="72"/>
        </w:rPr>
        <w:br/>
        <w:t xml:space="preserve">v </w:t>
      </w:r>
      <w:r>
        <w:rPr>
          <w:rFonts w:ascii="Garamond" w:hAnsi="Garamond"/>
          <w:b/>
          <w:sz w:val="72"/>
        </w:rPr>
        <w:t>oblasti přímých daní</w:t>
      </w:r>
    </w:p>
    <w:p w:rsidR="008E04B1" w:rsidRPr="007F0A4A" w:rsidRDefault="008E04B1" w:rsidP="005A37BD">
      <w:pPr>
        <w:pStyle w:val="Bezmezer"/>
        <w:pBdr>
          <w:top w:val="single" w:sz="18" w:space="1" w:color="auto"/>
          <w:bottom w:val="single" w:sz="18" w:space="1" w:color="auto"/>
        </w:pBdr>
        <w:spacing w:before="120"/>
        <w:jc w:val="center"/>
        <w:rPr>
          <w:rFonts w:ascii="Garamond" w:hAnsi="Garamond"/>
          <w:b/>
          <w:i/>
          <w:sz w:val="52"/>
          <w:szCs w:val="52"/>
        </w:rPr>
      </w:pPr>
    </w:p>
    <w:p w:rsidR="008E04B1" w:rsidRPr="007F0A4A" w:rsidRDefault="008E04B1" w:rsidP="005A37BD">
      <w:pPr>
        <w:pStyle w:val="Bezmezer"/>
        <w:pBdr>
          <w:top w:val="single" w:sz="18" w:space="1" w:color="auto"/>
          <w:bottom w:val="single" w:sz="18" w:space="1" w:color="auto"/>
        </w:pBdr>
        <w:spacing w:before="120"/>
        <w:jc w:val="center"/>
        <w:rPr>
          <w:rFonts w:ascii="Garamond" w:hAnsi="Garamond"/>
          <w:b/>
          <w:i/>
          <w:sz w:val="52"/>
          <w:szCs w:val="52"/>
        </w:rPr>
      </w:pPr>
      <w:r w:rsidRPr="007F0A4A">
        <w:rPr>
          <w:rFonts w:ascii="Garamond" w:hAnsi="Garamond"/>
          <w:b/>
          <w:i/>
          <w:sz w:val="52"/>
          <w:szCs w:val="52"/>
        </w:rPr>
        <w:t>k diskusi</w:t>
      </w:r>
    </w:p>
    <w:p w:rsidR="008E04B1" w:rsidRPr="007F0A4A" w:rsidRDefault="008E04B1" w:rsidP="005A37BD">
      <w:pPr>
        <w:pStyle w:val="Bezmezer"/>
        <w:spacing w:before="120"/>
        <w:jc w:val="center"/>
        <w:rPr>
          <w:rFonts w:ascii="Garamond" w:hAnsi="Garamond"/>
          <w:sz w:val="72"/>
        </w:rPr>
      </w:pPr>
    </w:p>
    <w:p w:rsidR="008E04B1" w:rsidRPr="007F0A4A" w:rsidRDefault="008E04B1" w:rsidP="005A37BD">
      <w:pPr>
        <w:pStyle w:val="Bezmezer"/>
        <w:spacing w:before="120"/>
        <w:jc w:val="center"/>
        <w:rPr>
          <w:rFonts w:ascii="Garamond" w:hAnsi="Garamond"/>
          <w:sz w:val="40"/>
        </w:rPr>
      </w:pPr>
      <w:r w:rsidRPr="00F9106C">
        <w:rPr>
          <w:rFonts w:ascii="Garamond" w:hAnsi="Garamond"/>
          <w:sz w:val="40"/>
        </w:rPr>
        <w:t>verze k 21. březnu 2016</w:t>
      </w:r>
    </w:p>
    <w:p w:rsidR="008E04B1" w:rsidRPr="007F0A4A" w:rsidRDefault="008E04B1" w:rsidP="005A37BD">
      <w:pPr>
        <w:pStyle w:val="Bezmezer"/>
        <w:spacing w:before="120"/>
        <w:rPr>
          <w:rFonts w:ascii="Garamond" w:hAnsi="Garamond"/>
        </w:rPr>
      </w:pPr>
    </w:p>
    <w:p w:rsidR="008E04B1" w:rsidRDefault="008E04B1" w:rsidP="005A37BD"/>
    <w:p w:rsidR="008E04B1" w:rsidRDefault="008E04B1" w:rsidP="00FC62DD">
      <w:pPr>
        <w:jc w:val="left"/>
      </w:pPr>
    </w:p>
    <w:p w:rsidR="008E04B1" w:rsidRDefault="008E04B1" w:rsidP="00FC62DD">
      <w:pPr>
        <w:jc w:val="left"/>
      </w:pPr>
    </w:p>
    <w:p w:rsidR="008E04B1" w:rsidRDefault="008E04B1" w:rsidP="00FC62DD">
      <w:pPr>
        <w:jc w:val="left"/>
      </w:pPr>
    </w:p>
    <w:p w:rsidR="008E04B1" w:rsidRDefault="008E04B1" w:rsidP="00FC62DD">
      <w:pPr>
        <w:jc w:val="left"/>
      </w:pPr>
    </w:p>
    <w:p w:rsidR="008E04B1" w:rsidRDefault="008E04B1" w:rsidP="00FC62DD">
      <w:pPr>
        <w:jc w:val="left"/>
      </w:pPr>
    </w:p>
    <w:p w:rsidR="008E04B1" w:rsidRDefault="008E04B1" w:rsidP="00FC62DD">
      <w:pPr>
        <w:jc w:val="left"/>
      </w:pPr>
      <w:r>
        <w:t>Ministerstvo financí, 2016 – pracovní text</w:t>
      </w:r>
    </w:p>
    <w:p w:rsidR="008E04B1" w:rsidRPr="007F0A4A" w:rsidRDefault="008E04B1" w:rsidP="00F9106C">
      <w:pPr>
        <w:pageBreakBefore/>
        <w:rPr>
          <w:b/>
          <w:sz w:val="44"/>
        </w:rPr>
      </w:pPr>
      <w:r w:rsidRPr="007F0A4A">
        <w:rPr>
          <w:b/>
          <w:sz w:val="44"/>
        </w:rPr>
        <w:lastRenderedPageBreak/>
        <w:t>Obsah:</w:t>
      </w:r>
    </w:p>
    <w:bookmarkStart w:id="0" w:name="_GoBack"/>
    <w:bookmarkEnd w:id="0"/>
    <w:p w:rsidR="00BB1956" w:rsidRDefault="008E04B1">
      <w:pPr>
        <w:pStyle w:val="Obsah1"/>
        <w:tabs>
          <w:tab w:val="left" w:pos="480"/>
          <w:tab w:val="right" w:leader="underscore" w:pos="9062"/>
        </w:tabs>
        <w:rPr>
          <w:rFonts w:asciiTheme="minorHAnsi" w:eastAsiaTheme="minorEastAsia" w:hAnsiTheme="minorHAnsi" w:cstheme="minorBidi"/>
          <w:b w:val="0"/>
          <w:bCs w:val="0"/>
          <w:caps w:val="0"/>
          <w:noProof/>
          <w:sz w:val="22"/>
          <w:szCs w:val="22"/>
          <w:lang w:val="en-GB" w:eastAsia="en-GB"/>
        </w:rPr>
      </w:pPr>
      <w:r w:rsidRPr="007F0A4A">
        <w:rPr>
          <w:rFonts w:ascii="Garamond" w:hAnsi="Garamond"/>
          <w:b w:val="0"/>
          <w:bCs w:val="0"/>
          <w:caps w:val="0"/>
        </w:rPr>
        <w:fldChar w:fldCharType="begin"/>
      </w:r>
      <w:r w:rsidRPr="007F0A4A">
        <w:rPr>
          <w:rFonts w:ascii="Garamond" w:hAnsi="Garamond"/>
          <w:b w:val="0"/>
          <w:bCs w:val="0"/>
          <w:caps w:val="0"/>
        </w:rPr>
        <w:instrText xml:space="preserve"> TOC \o "1-2" \h \z \u </w:instrText>
      </w:r>
      <w:r w:rsidRPr="007F0A4A">
        <w:rPr>
          <w:rFonts w:ascii="Garamond" w:hAnsi="Garamond"/>
          <w:b w:val="0"/>
          <w:bCs w:val="0"/>
          <w:caps w:val="0"/>
        </w:rPr>
        <w:fldChar w:fldCharType="separate"/>
      </w:r>
      <w:hyperlink w:anchor="_Toc448736153" w:history="1">
        <w:r w:rsidR="00BB1956" w:rsidRPr="00BB7924">
          <w:rPr>
            <w:rStyle w:val="Hypertextovodkaz"/>
            <w:noProof/>
          </w:rPr>
          <w:t>1.</w:t>
        </w:r>
        <w:r w:rsidR="00BB1956">
          <w:rPr>
            <w:rFonts w:asciiTheme="minorHAnsi" w:eastAsiaTheme="minorEastAsia" w:hAnsiTheme="minorHAnsi" w:cstheme="minorBidi"/>
            <w:b w:val="0"/>
            <w:bCs w:val="0"/>
            <w:caps w:val="0"/>
            <w:noProof/>
            <w:sz w:val="22"/>
            <w:szCs w:val="22"/>
            <w:lang w:val="en-GB" w:eastAsia="en-GB"/>
          </w:rPr>
          <w:tab/>
        </w:r>
        <w:r w:rsidR="00BB1956" w:rsidRPr="00BB7924">
          <w:rPr>
            <w:rStyle w:val="Hypertextovodkaz"/>
            <w:noProof/>
          </w:rPr>
          <w:t>Úvod</w:t>
        </w:r>
        <w:r w:rsidR="00BB1956">
          <w:rPr>
            <w:noProof/>
            <w:webHidden/>
          </w:rPr>
          <w:tab/>
        </w:r>
        <w:r w:rsidR="00BB1956">
          <w:rPr>
            <w:noProof/>
            <w:webHidden/>
          </w:rPr>
          <w:fldChar w:fldCharType="begin"/>
        </w:r>
        <w:r w:rsidR="00BB1956">
          <w:rPr>
            <w:noProof/>
            <w:webHidden/>
          </w:rPr>
          <w:instrText xml:space="preserve"> PAGEREF _Toc448736153 \h </w:instrText>
        </w:r>
        <w:r w:rsidR="00BB1956">
          <w:rPr>
            <w:noProof/>
            <w:webHidden/>
          </w:rPr>
        </w:r>
        <w:r w:rsidR="00BB1956">
          <w:rPr>
            <w:noProof/>
            <w:webHidden/>
          </w:rPr>
          <w:fldChar w:fldCharType="separate"/>
        </w:r>
        <w:r w:rsidR="00BB1956">
          <w:rPr>
            <w:noProof/>
            <w:webHidden/>
          </w:rPr>
          <w:t>- 3 -</w:t>
        </w:r>
        <w:r w:rsidR="00BB1956">
          <w:rPr>
            <w:noProof/>
            <w:webHidden/>
          </w:rPr>
          <w:fldChar w:fldCharType="end"/>
        </w:r>
      </w:hyperlink>
    </w:p>
    <w:p w:rsidR="00BB1956" w:rsidRDefault="00BB1956">
      <w:pPr>
        <w:pStyle w:val="Obsah1"/>
        <w:tabs>
          <w:tab w:val="left" w:pos="480"/>
          <w:tab w:val="right" w:leader="underscore" w:pos="9062"/>
        </w:tabs>
        <w:rPr>
          <w:rFonts w:asciiTheme="minorHAnsi" w:eastAsiaTheme="minorEastAsia" w:hAnsiTheme="minorHAnsi" w:cstheme="minorBidi"/>
          <w:b w:val="0"/>
          <w:bCs w:val="0"/>
          <w:caps w:val="0"/>
          <w:noProof/>
          <w:sz w:val="22"/>
          <w:szCs w:val="22"/>
          <w:lang w:val="en-GB" w:eastAsia="en-GB"/>
        </w:rPr>
      </w:pPr>
      <w:hyperlink w:anchor="_Toc448736154" w:history="1">
        <w:r w:rsidRPr="00BB7924">
          <w:rPr>
            <w:rStyle w:val="Hypertextovodkaz"/>
            <w:noProof/>
          </w:rPr>
          <w:t>2.</w:t>
        </w:r>
        <w:r>
          <w:rPr>
            <w:rFonts w:asciiTheme="minorHAnsi" w:eastAsiaTheme="minorEastAsia" w:hAnsiTheme="minorHAnsi" w:cstheme="minorBidi"/>
            <w:b w:val="0"/>
            <w:bCs w:val="0"/>
            <w:caps w:val="0"/>
            <w:noProof/>
            <w:sz w:val="22"/>
            <w:szCs w:val="22"/>
            <w:lang w:val="en-GB" w:eastAsia="en-GB"/>
          </w:rPr>
          <w:tab/>
        </w:r>
        <w:r w:rsidRPr="00BB7924">
          <w:rPr>
            <w:rStyle w:val="Hypertextovodkaz"/>
            <w:noProof/>
          </w:rPr>
          <w:t>Projekt OECD  Eroze daňových základů a přesouvání zisků  (BEPS)</w:t>
        </w:r>
        <w:r>
          <w:rPr>
            <w:noProof/>
            <w:webHidden/>
          </w:rPr>
          <w:tab/>
        </w:r>
        <w:r>
          <w:rPr>
            <w:noProof/>
            <w:webHidden/>
          </w:rPr>
          <w:fldChar w:fldCharType="begin"/>
        </w:r>
        <w:r>
          <w:rPr>
            <w:noProof/>
            <w:webHidden/>
          </w:rPr>
          <w:instrText xml:space="preserve"> PAGEREF _Toc448736154 \h </w:instrText>
        </w:r>
        <w:r>
          <w:rPr>
            <w:noProof/>
            <w:webHidden/>
          </w:rPr>
        </w:r>
        <w:r>
          <w:rPr>
            <w:noProof/>
            <w:webHidden/>
          </w:rPr>
          <w:fldChar w:fldCharType="separate"/>
        </w:r>
        <w:r>
          <w:rPr>
            <w:noProof/>
            <w:webHidden/>
          </w:rPr>
          <w:t>- 6 -</w:t>
        </w:r>
        <w:r>
          <w:rPr>
            <w:noProof/>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55" w:history="1">
        <w:r w:rsidRPr="00BB7924">
          <w:rPr>
            <w:rStyle w:val="Hypertextovodkaz"/>
          </w:rPr>
          <w:t>2.1.</w:t>
        </w:r>
        <w:r>
          <w:rPr>
            <w:rFonts w:asciiTheme="minorHAnsi" w:eastAsiaTheme="minorEastAsia" w:hAnsiTheme="minorHAnsi" w:cstheme="minorBidi"/>
            <w:b w:val="0"/>
            <w:smallCaps w:val="0"/>
            <w:sz w:val="22"/>
            <w:szCs w:val="22"/>
            <w:lang w:val="en-GB" w:eastAsia="en-GB"/>
          </w:rPr>
          <w:tab/>
        </w:r>
        <w:r w:rsidRPr="00BB7924">
          <w:rPr>
            <w:rStyle w:val="Hypertextovodkaz"/>
          </w:rPr>
          <w:t>Úvod</w:t>
        </w:r>
        <w:r>
          <w:rPr>
            <w:webHidden/>
          </w:rPr>
          <w:tab/>
        </w:r>
        <w:r>
          <w:rPr>
            <w:webHidden/>
          </w:rPr>
          <w:fldChar w:fldCharType="begin"/>
        </w:r>
        <w:r>
          <w:rPr>
            <w:webHidden/>
          </w:rPr>
          <w:instrText xml:space="preserve"> PAGEREF _Toc448736155 \h </w:instrText>
        </w:r>
        <w:r>
          <w:rPr>
            <w:webHidden/>
          </w:rPr>
        </w:r>
        <w:r>
          <w:rPr>
            <w:webHidden/>
          </w:rPr>
          <w:fldChar w:fldCharType="separate"/>
        </w:r>
        <w:r>
          <w:rPr>
            <w:webHidden/>
          </w:rPr>
          <w:t>- 7 -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56" w:history="1">
        <w:r w:rsidRPr="00BB7924">
          <w:rPr>
            <w:rStyle w:val="Hypertextovodkaz"/>
          </w:rPr>
          <w:t>2.2.</w:t>
        </w:r>
        <w:r>
          <w:rPr>
            <w:rFonts w:asciiTheme="minorHAnsi" w:eastAsiaTheme="minorEastAsia" w:hAnsiTheme="minorHAnsi" w:cstheme="minorBidi"/>
            <w:b w:val="0"/>
            <w:smallCaps w:val="0"/>
            <w:sz w:val="22"/>
            <w:szCs w:val="22"/>
            <w:lang w:val="en-GB" w:eastAsia="en-GB"/>
          </w:rPr>
          <w:tab/>
        </w:r>
        <w:r w:rsidRPr="00BB7924">
          <w:rPr>
            <w:rStyle w:val="Hypertextovodkaz"/>
          </w:rPr>
          <w:t>Akce 1: Daňové výzvy digitální ekonomiky</w:t>
        </w:r>
        <w:r>
          <w:rPr>
            <w:webHidden/>
          </w:rPr>
          <w:tab/>
        </w:r>
        <w:r>
          <w:rPr>
            <w:webHidden/>
          </w:rPr>
          <w:fldChar w:fldCharType="begin"/>
        </w:r>
        <w:r>
          <w:rPr>
            <w:webHidden/>
          </w:rPr>
          <w:instrText xml:space="preserve"> PAGEREF _Toc448736156 \h </w:instrText>
        </w:r>
        <w:r>
          <w:rPr>
            <w:webHidden/>
          </w:rPr>
        </w:r>
        <w:r>
          <w:rPr>
            <w:webHidden/>
          </w:rPr>
          <w:fldChar w:fldCharType="separate"/>
        </w:r>
        <w:r>
          <w:rPr>
            <w:webHidden/>
          </w:rPr>
          <w:t>- 8 -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57" w:history="1">
        <w:r w:rsidRPr="00BB7924">
          <w:rPr>
            <w:rStyle w:val="Hypertextovodkaz"/>
          </w:rPr>
          <w:t>2.3.</w:t>
        </w:r>
        <w:r>
          <w:rPr>
            <w:rFonts w:asciiTheme="minorHAnsi" w:eastAsiaTheme="minorEastAsia" w:hAnsiTheme="minorHAnsi" w:cstheme="minorBidi"/>
            <w:b w:val="0"/>
            <w:smallCaps w:val="0"/>
            <w:sz w:val="22"/>
            <w:szCs w:val="22"/>
            <w:lang w:val="en-GB" w:eastAsia="en-GB"/>
          </w:rPr>
          <w:tab/>
        </w:r>
        <w:r w:rsidRPr="00BB7924">
          <w:rPr>
            <w:rStyle w:val="Hypertextovodkaz"/>
          </w:rPr>
          <w:t>Akce 2: Neutralizace efektů hybridních schémat</w:t>
        </w:r>
        <w:r>
          <w:rPr>
            <w:webHidden/>
          </w:rPr>
          <w:tab/>
        </w:r>
        <w:r>
          <w:rPr>
            <w:webHidden/>
          </w:rPr>
          <w:fldChar w:fldCharType="begin"/>
        </w:r>
        <w:r>
          <w:rPr>
            <w:webHidden/>
          </w:rPr>
          <w:instrText xml:space="preserve"> PAGEREF _Toc448736157 \h </w:instrText>
        </w:r>
        <w:r>
          <w:rPr>
            <w:webHidden/>
          </w:rPr>
        </w:r>
        <w:r>
          <w:rPr>
            <w:webHidden/>
          </w:rPr>
          <w:fldChar w:fldCharType="separate"/>
        </w:r>
        <w:r>
          <w:rPr>
            <w:webHidden/>
          </w:rPr>
          <w:t>- 10 -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58" w:history="1">
        <w:r w:rsidRPr="00BB7924">
          <w:rPr>
            <w:rStyle w:val="Hypertextovodkaz"/>
          </w:rPr>
          <w:t>2.4.</w:t>
        </w:r>
        <w:r>
          <w:rPr>
            <w:rFonts w:asciiTheme="minorHAnsi" w:eastAsiaTheme="minorEastAsia" w:hAnsiTheme="minorHAnsi" w:cstheme="minorBidi"/>
            <w:b w:val="0"/>
            <w:smallCaps w:val="0"/>
            <w:sz w:val="22"/>
            <w:szCs w:val="22"/>
            <w:lang w:val="en-GB" w:eastAsia="en-GB"/>
          </w:rPr>
          <w:tab/>
        </w:r>
        <w:r w:rsidRPr="00BB7924">
          <w:rPr>
            <w:rStyle w:val="Hypertextovodkaz"/>
          </w:rPr>
          <w:t>Akce 3: Zavedení efektivních pravidel pro zdaňování ovládaných zahraničních společností (CFC pravidla)</w:t>
        </w:r>
        <w:r>
          <w:rPr>
            <w:webHidden/>
          </w:rPr>
          <w:tab/>
        </w:r>
        <w:r>
          <w:rPr>
            <w:webHidden/>
          </w:rPr>
          <w:fldChar w:fldCharType="begin"/>
        </w:r>
        <w:r>
          <w:rPr>
            <w:webHidden/>
          </w:rPr>
          <w:instrText xml:space="preserve"> PAGEREF _Toc448736158 \h </w:instrText>
        </w:r>
        <w:r>
          <w:rPr>
            <w:webHidden/>
          </w:rPr>
        </w:r>
        <w:r>
          <w:rPr>
            <w:webHidden/>
          </w:rPr>
          <w:fldChar w:fldCharType="separate"/>
        </w:r>
        <w:r>
          <w:rPr>
            <w:webHidden/>
          </w:rPr>
          <w:t>- 13 -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59" w:history="1">
        <w:r w:rsidRPr="00BB7924">
          <w:rPr>
            <w:rStyle w:val="Hypertextovodkaz"/>
          </w:rPr>
          <w:t>2.5.</w:t>
        </w:r>
        <w:r>
          <w:rPr>
            <w:rFonts w:asciiTheme="minorHAnsi" w:eastAsiaTheme="minorEastAsia" w:hAnsiTheme="minorHAnsi" w:cstheme="minorBidi"/>
            <w:b w:val="0"/>
            <w:smallCaps w:val="0"/>
            <w:sz w:val="22"/>
            <w:szCs w:val="22"/>
            <w:lang w:val="en-GB" w:eastAsia="en-GB"/>
          </w:rPr>
          <w:tab/>
        </w:r>
        <w:r w:rsidRPr="00BB7924">
          <w:rPr>
            <w:rStyle w:val="Hypertextovodkaz"/>
          </w:rPr>
          <w:t>Akce 4: Omezení odečitatelnosti úroků</w:t>
        </w:r>
        <w:r>
          <w:rPr>
            <w:webHidden/>
          </w:rPr>
          <w:tab/>
        </w:r>
        <w:r>
          <w:rPr>
            <w:webHidden/>
          </w:rPr>
          <w:fldChar w:fldCharType="begin"/>
        </w:r>
        <w:r>
          <w:rPr>
            <w:webHidden/>
          </w:rPr>
          <w:instrText xml:space="preserve"> PAGEREF _Toc448736159 \h </w:instrText>
        </w:r>
        <w:r>
          <w:rPr>
            <w:webHidden/>
          </w:rPr>
        </w:r>
        <w:r>
          <w:rPr>
            <w:webHidden/>
          </w:rPr>
          <w:fldChar w:fldCharType="separate"/>
        </w:r>
        <w:r>
          <w:rPr>
            <w:webHidden/>
          </w:rPr>
          <w:t>- 15 -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0" w:history="1">
        <w:r w:rsidRPr="00BB7924">
          <w:rPr>
            <w:rStyle w:val="Hypertextovodkaz"/>
          </w:rPr>
          <w:t>2.6.</w:t>
        </w:r>
        <w:r>
          <w:rPr>
            <w:rFonts w:asciiTheme="minorHAnsi" w:eastAsiaTheme="minorEastAsia" w:hAnsiTheme="minorHAnsi" w:cstheme="minorBidi"/>
            <w:b w:val="0"/>
            <w:smallCaps w:val="0"/>
            <w:sz w:val="22"/>
            <w:szCs w:val="22"/>
            <w:lang w:val="en-GB" w:eastAsia="en-GB"/>
          </w:rPr>
          <w:tab/>
        </w:r>
        <w:r w:rsidRPr="00BB7924">
          <w:rPr>
            <w:rStyle w:val="Hypertextovodkaz"/>
          </w:rPr>
          <w:t>Akce 5: Efektivnější čelení škodlivým daňovým praktikám</w:t>
        </w:r>
        <w:r>
          <w:rPr>
            <w:webHidden/>
          </w:rPr>
          <w:tab/>
        </w:r>
        <w:r>
          <w:rPr>
            <w:webHidden/>
          </w:rPr>
          <w:fldChar w:fldCharType="begin"/>
        </w:r>
        <w:r>
          <w:rPr>
            <w:webHidden/>
          </w:rPr>
          <w:instrText xml:space="preserve"> PAGEREF _Toc448736160 \h </w:instrText>
        </w:r>
        <w:r>
          <w:rPr>
            <w:webHidden/>
          </w:rPr>
        </w:r>
        <w:r>
          <w:rPr>
            <w:webHidden/>
          </w:rPr>
          <w:fldChar w:fldCharType="separate"/>
        </w:r>
        <w:r>
          <w:rPr>
            <w:webHidden/>
          </w:rPr>
          <w:t>- 18 -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1" w:history="1">
        <w:r w:rsidRPr="00BB7924">
          <w:rPr>
            <w:rStyle w:val="Hypertextovodkaz"/>
          </w:rPr>
          <w:t>2.7.</w:t>
        </w:r>
        <w:r>
          <w:rPr>
            <w:rFonts w:asciiTheme="minorHAnsi" w:eastAsiaTheme="minorEastAsia" w:hAnsiTheme="minorHAnsi" w:cstheme="minorBidi"/>
            <w:b w:val="0"/>
            <w:smallCaps w:val="0"/>
            <w:sz w:val="22"/>
            <w:szCs w:val="22"/>
            <w:lang w:val="en-GB" w:eastAsia="en-GB"/>
          </w:rPr>
          <w:tab/>
        </w:r>
        <w:r w:rsidRPr="00BB7924">
          <w:rPr>
            <w:rStyle w:val="Hypertextovodkaz"/>
          </w:rPr>
          <w:t>Akce 6: Předcházení zneužívání smluv o zamezení dvojímu zdanění</w:t>
        </w:r>
        <w:r>
          <w:rPr>
            <w:webHidden/>
          </w:rPr>
          <w:tab/>
        </w:r>
        <w:r>
          <w:rPr>
            <w:webHidden/>
          </w:rPr>
          <w:fldChar w:fldCharType="begin"/>
        </w:r>
        <w:r>
          <w:rPr>
            <w:webHidden/>
          </w:rPr>
          <w:instrText xml:space="preserve"> PAGEREF _Toc448736161 \h </w:instrText>
        </w:r>
        <w:r>
          <w:rPr>
            <w:webHidden/>
          </w:rPr>
        </w:r>
        <w:r>
          <w:rPr>
            <w:webHidden/>
          </w:rPr>
          <w:fldChar w:fldCharType="separate"/>
        </w:r>
        <w:r>
          <w:rPr>
            <w:webHidden/>
          </w:rPr>
          <w:t>- 20 -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2" w:history="1">
        <w:r w:rsidRPr="00BB7924">
          <w:rPr>
            <w:rStyle w:val="Hypertextovodkaz"/>
          </w:rPr>
          <w:t>2.8.</w:t>
        </w:r>
        <w:r>
          <w:rPr>
            <w:rFonts w:asciiTheme="minorHAnsi" w:eastAsiaTheme="minorEastAsia" w:hAnsiTheme="minorHAnsi" w:cstheme="minorBidi"/>
            <w:b w:val="0"/>
            <w:smallCaps w:val="0"/>
            <w:sz w:val="22"/>
            <w:szCs w:val="22"/>
            <w:lang w:val="en-GB" w:eastAsia="en-GB"/>
          </w:rPr>
          <w:tab/>
        </w:r>
        <w:r w:rsidRPr="00BB7924">
          <w:rPr>
            <w:rStyle w:val="Hypertextovodkaz"/>
          </w:rPr>
          <w:t>Akce 7: Předcházení umělému vyhýbání se statusu stálé provozovny</w:t>
        </w:r>
        <w:r>
          <w:rPr>
            <w:webHidden/>
          </w:rPr>
          <w:tab/>
        </w:r>
        <w:r>
          <w:rPr>
            <w:webHidden/>
          </w:rPr>
          <w:fldChar w:fldCharType="begin"/>
        </w:r>
        <w:r>
          <w:rPr>
            <w:webHidden/>
          </w:rPr>
          <w:instrText xml:space="preserve"> PAGEREF _Toc448736162 \h </w:instrText>
        </w:r>
        <w:r>
          <w:rPr>
            <w:webHidden/>
          </w:rPr>
        </w:r>
        <w:r>
          <w:rPr>
            <w:webHidden/>
          </w:rPr>
          <w:fldChar w:fldCharType="separate"/>
        </w:r>
        <w:r>
          <w:rPr>
            <w:webHidden/>
          </w:rPr>
          <w:t>- 22 -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3" w:history="1">
        <w:r w:rsidRPr="00BB7924">
          <w:rPr>
            <w:rStyle w:val="Hypertextovodkaz"/>
          </w:rPr>
          <w:t>2.9.</w:t>
        </w:r>
        <w:r>
          <w:rPr>
            <w:rFonts w:asciiTheme="minorHAnsi" w:eastAsiaTheme="minorEastAsia" w:hAnsiTheme="minorHAnsi" w:cstheme="minorBidi"/>
            <w:b w:val="0"/>
            <w:smallCaps w:val="0"/>
            <w:sz w:val="22"/>
            <w:szCs w:val="22"/>
            <w:lang w:val="en-GB" w:eastAsia="en-GB"/>
          </w:rPr>
          <w:tab/>
        </w:r>
        <w:r w:rsidRPr="00BB7924">
          <w:rPr>
            <w:rStyle w:val="Hypertextovodkaz"/>
          </w:rPr>
          <w:t>Akce 8-10: Přizpůsobení převodních cen ekonomické aktivitě</w:t>
        </w:r>
        <w:r>
          <w:rPr>
            <w:webHidden/>
          </w:rPr>
          <w:tab/>
        </w:r>
        <w:r>
          <w:rPr>
            <w:webHidden/>
          </w:rPr>
          <w:fldChar w:fldCharType="begin"/>
        </w:r>
        <w:r>
          <w:rPr>
            <w:webHidden/>
          </w:rPr>
          <w:instrText xml:space="preserve"> PAGEREF _Toc448736163 \h </w:instrText>
        </w:r>
        <w:r>
          <w:rPr>
            <w:webHidden/>
          </w:rPr>
        </w:r>
        <w:r>
          <w:rPr>
            <w:webHidden/>
          </w:rPr>
          <w:fldChar w:fldCharType="separate"/>
        </w:r>
        <w:r>
          <w:rPr>
            <w:webHidden/>
          </w:rPr>
          <w:t>- 24 -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4" w:history="1">
        <w:r w:rsidRPr="00BB7924">
          <w:rPr>
            <w:rStyle w:val="Hypertextovodkaz"/>
          </w:rPr>
          <w:t>2.10.</w:t>
        </w:r>
        <w:r>
          <w:rPr>
            <w:rFonts w:asciiTheme="minorHAnsi" w:eastAsiaTheme="minorEastAsia" w:hAnsiTheme="minorHAnsi" w:cstheme="minorBidi"/>
            <w:b w:val="0"/>
            <w:smallCaps w:val="0"/>
            <w:sz w:val="22"/>
            <w:szCs w:val="22"/>
            <w:lang w:val="en-GB" w:eastAsia="en-GB"/>
          </w:rPr>
          <w:tab/>
        </w:r>
        <w:r w:rsidRPr="00BB7924">
          <w:rPr>
            <w:rStyle w:val="Hypertextovodkaz"/>
          </w:rPr>
          <w:t>Akce 12: Povinné oznamování daňově optimalizačních schémat</w:t>
        </w:r>
        <w:r>
          <w:rPr>
            <w:webHidden/>
          </w:rPr>
          <w:tab/>
        </w:r>
        <w:r>
          <w:rPr>
            <w:webHidden/>
          </w:rPr>
          <w:fldChar w:fldCharType="begin"/>
        </w:r>
        <w:r>
          <w:rPr>
            <w:webHidden/>
          </w:rPr>
          <w:instrText xml:space="preserve"> PAGEREF _Toc448736164 \h </w:instrText>
        </w:r>
        <w:r>
          <w:rPr>
            <w:webHidden/>
          </w:rPr>
        </w:r>
        <w:r>
          <w:rPr>
            <w:webHidden/>
          </w:rPr>
          <w:fldChar w:fldCharType="separate"/>
        </w:r>
        <w:r>
          <w:rPr>
            <w:webHidden/>
          </w:rPr>
          <w:t>- 25 -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5" w:history="1">
        <w:r w:rsidRPr="00BB7924">
          <w:rPr>
            <w:rStyle w:val="Hypertextovodkaz"/>
          </w:rPr>
          <w:t>2.11.</w:t>
        </w:r>
        <w:r>
          <w:rPr>
            <w:rFonts w:asciiTheme="minorHAnsi" w:eastAsiaTheme="minorEastAsia" w:hAnsiTheme="minorHAnsi" w:cstheme="minorBidi"/>
            <w:b w:val="0"/>
            <w:smallCaps w:val="0"/>
            <w:sz w:val="22"/>
            <w:szCs w:val="22"/>
            <w:lang w:val="en-GB" w:eastAsia="en-GB"/>
          </w:rPr>
          <w:tab/>
        </w:r>
        <w:r w:rsidRPr="00BB7924">
          <w:rPr>
            <w:rStyle w:val="Hypertextovodkaz"/>
          </w:rPr>
          <w:t>Akce 13: Dokumentace k převodním cenám a zpráva podle jednotlivých zemí (country-by-country reporting)</w:t>
        </w:r>
        <w:r>
          <w:rPr>
            <w:webHidden/>
          </w:rPr>
          <w:tab/>
        </w:r>
        <w:r>
          <w:rPr>
            <w:webHidden/>
          </w:rPr>
          <w:fldChar w:fldCharType="begin"/>
        </w:r>
        <w:r>
          <w:rPr>
            <w:webHidden/>
          </w:rPr>
          <w:instrText xml:space="preserve"> PAGEREF _Toc448736165 \h </w:instrText>
        </w:r>
        <w:r>
          <w:rPr>
            <w:webHidden/>
          </w:rPr>
        </w:r>
        <w:r>
          <w:rPr>
            <w:webHidden/>
          </w:rPr>
          <w:fldChar w:fldCharType="separate"/>
        </w:r>
        <w:r>
          <w:rPr>
            <w:webHidden/>
          </w:rPr>
          <w:t>- 27 -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6" w:history="1">
        <w:r w:rsidRPr="00BB7924">
          <w:rPr>
            <w:rStyle w:val="Hypertextovodkaz"/>
          </w:rPr>
          <w:t>2.12.</w:t>
        </w:r>
        <w:r>
          <w:rPr>
            <w:rFonts w:asciiTheme="minorHAnsi" w:eastAsiaTheme="minorEastAsia" w:hAnsiTheme="minorHAnsi" w:cstheme="minorBidi"/>
            <w:b w:val="0"/>
            <w:smallCaps w:val="0"/>
            <w:sz w:val="22"/>
            <w:szCs w:val="22"/>
            <w:lang w:val="en-GB" w:eastAsia="en-GB"/>
          </w:rPr>
          <w:tab/>
        </w:r>
        <w:r w:rsidRPr="00BB7924">
          <w:rPr>
            <w:rStyle w:val="Hypertextovodkaz"/>
          </w:rPr>
          <w:t>Akce 14: Zefektivnění mechanismu řešení případů dohodou</w:t>
        </w:r>
        <w:r>
          <w:rPr>
            <w:webHidden/>
          </w:rPr>
          <w:tab/>
        </w:r>
        <w:r>
          <w:rPr>
            <w:webHidden/>
          </w:rPr>
          <w:fldChar w:fldCharType="begin"/>
        </w:r>
        <w:r>
          <w:rPr>
            <w:webHidden/>
          </w:rPr>
          <w:instrText xml:space="preserve"> PAGEREF _Toc448736166 \h </w:instrText>
        </w:r>
        <w:r>
          <w:rPr>
            <w:webHidden/>
          </w:rPr>
        </w:r>
        <w:r>
          <w:rPr>
            <w:webHidden/>
          </w:rPr>
          <w:fldChar w:fldCharType="separate"/>
        </w:r>
        <w:r>
          <w:rPr>
            <w:webHidden/>
          </w:rPr>
          <w:t>- 29 -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7" w:history="1">
        <w:r w:rsidRPr="00BB7924">
          <w:rPr>
            <w:rStyle w:val="Hypertextovodkaz"/>
          </w:rPr>
          <w:t>2.13.</w:t>
        </w:r>
        <w:r>
          <w:rPr>
            <w:rFonts w:asciiTheme="minorHAnsi" w:eastAsiaTheme="minorEastAsia" w:hAnsiTheme="minorHAnsi" w:cstheme="minorBidi"/>
            <w:b w:val="0"/>
            <w:smallCaps w:val="0"/>
            <w:sz w:val="22"/>
            <w:szCs w:val="22"/>
            <w:lang w:val="en-GB" w:eastAsia="en-GB"/>
          </w:rPr>
          <w:tab/>
        </w:r>
        <w:r w:rsidRPr="00BB7924">
          <w:rPr>
            <w:rStyle w:val="Hypertextovodkaz"/>
          </w:rPr>
          <w:t>Akce 15: Mnohostranný nástroj pro změnu dvoustranných daňových smluv</w:t>
        </w:r>
        <w:r>
          <w:rPr>
            <w:webHidden/>
          </w:rPr>
          <w:tab/>
        </w:r>
        <w:r>
          <w:rPr>
            <w:webHidden/>
          </w:rPr>
          <w:fldChar w:fldCharType="begin"/>
        </w:r>
        <w:r>
          <w:rPr>
            <w:webHidden/>
          </w:rPr>
          <w:instrText xml:space="preserve"> PAGEREF _Toc448736167 \h </w:instrText>
        </w:r>
        <w:r>
          <w:rPr>
            <w:webHidden/>
          </w:rPr>
        </w:r>
        <w:r>
          <w:rPr>
            <w:webHidden/>
          </w:rPr>
          <w:fldChar w:fldCharType="separate"/>
        </w:r>
        <w:r>
          <w:rPr>
            <w:webHidden/>
          </w:rPr>
          <w:t>- 32 -</w:t>
        </w:r>
        <w:r>
          <w:rPr>
            <w:webHidden/>
          </w:rPr>
          <w:fldChar w:fldCharType="end"/>
        </w:r>
      </w:hyperlink>
    </w:p>
    <w:p w:rsidR="00BB1956" w:rsidRDefault="00BB1956">
      <w:pPr>
        <w:pStyle w:val="Obsah1"/>
        <w:tabs>
          <w:tab w:val="left" w:pos="480"/>
          <w:tab w:val="right" w:leader="underscore" w:pos="9062"/>
        </w:tabs>
        <w:rPr>
          <w:rFonts w:asciiTheme="minorHAnsi" w:eastAsiaTheme="minorEastAsia" w:hAnsiTheme="minorHAnsi" w:cstheme="minorBidi"/>
          <w:b w:val="0"/>
          <w:bCs w:val="0"/>
          <w:caps w:val="0"/>
          <w:noProof/>
          <w:sz w:val="22"/>
          <w:szCs w:val="22"/>
          <w:lang w:val="en-GB" w:eastAsia="en-GB"/>
        </w:rPr>
      </w:pPr>
      <w:hyperlink w:anchor="_Toc448736168" w:history="1">
        <w:r w:rsidRPr="00BB7924">
          <w:rPr>
            <w:rStyle w:val="Hypertextovodkaz"/>
            <w:noProof/>
          </w:rPr>
          <w:t>3.</w:t>
        </w:r>
        <w:r>
          <w:rPr>
            <w:rFonts w:asciiTheme="minorHAnsi" w:eastAsiaTheme="minorEastAsia" w:hAnsiTheme="minorHAnsi" w:cstheme="minorBidi"/>
            <w:b w:val="0"/>
            <w:bCs w:val="0"/>
            <w:caps w:val="0"/>
            <w:noProof/>
            <w:sz w:val="22"/>
            <w:szCs w:val="22"/>
            <w:lang w:val="en-GB" w:eastAsia="en-GB"/>
          </w:rPr>
          <w:tab/>
        </w:r>
        <w:r w:rsidRPr="00BB7924">
          <w:rPr>
            <w:rStyle w:val="Hypertextovodkaz"/>
            <w:noProof/>
          </w:rPr>
          <w:t>Směrnice proti vyhýbání se daňovým povinnostem (ATAD)</w:t>
        </w:r>
        <w:r>
          <w:rPr>
            <w:noProof/>
            <w:webHidden/>
          </w:rPr>
          <w:tab/>
        </w:r>
        <w:r>
          <w:rPr>
            <w:noProof/>
            <w:webHidden/>
          </w:rPr>
          <w:fldChar w:fldCharType="begin"/>
        </w:r>
        <w:r>
          <w:rPr>
            <w:noProof/>
            <w:webHidden/>
          </w:rPr>
          <w:instrText xml:space="preserve"> PAGEREF _Toc448736168 \h </w:instrText>
        </w:r>
        <w:r>
          <w:rPr>
            <w:noProof/>
            <w:webHidden/>
          </w:rPr>
        </w:r>
        <w:r>
          <w:rPr>
            <w:noProof/>
            <w:webHidden/>
          </w:rPr>
          <w:fldChar w:fldCharType="separate"/>
        </w:r>
        <w:r>
          <w:rPr>
            <w:noProof/>
            <w:webHidden/>
          </w:rPr>
          <w:t>- 33 -</w:t>
        </w:r>
        <w:r>
          <w:rPr>
            <w:noProof/>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69" w:history="1">
        <w:r w:rsidRPr="00BB7924">
          <w:rPr>
            <w:rStyle w:val="Hypertextovodkaz"/>
          </w:rPr>
          <w:t>3.1.</w:t>
        </w:r>
        <w:r>
          <w:rPr>
            <w:rFonts w:asciiTheme="minorHAnsi" w:eastAsiaTheme="minorEastAsia" w:hAnsiTheme="minorHAnsi" w:cstheme="minorBidi"/>
            <w:b w:val="0"/>
            <w:smallCaps w:val="0"/>
            <w:sz w:val="22"/>
            <w:szCs w:val="22"/>
            <w:lang w:val="en-GB" w:eastAsia="en-GB"/>
          </w:rPr>
          <w:tab/>
        </w:r>
        <w:r w:rsidRPr="00BB7924">
          <w:rPr>
            <w:rStyle w:val="Hypertextovodkaz"/>
          </w:rPr>
          <w:t>Úvod</w:t>
        </w:r>
        <w:r>
          <w:rPr>
            <w:webHidden/>
          </w:rPr>
          <w:tab/>
        </w:r>
        <w:r>
          <w:rPr>
            <w:webHidden/>
          </w:rPr>
          <w:fldChar w:fldCharType="begin"/>
        </w:r>
        <w:r>
          <w:rPr>
            <w:webHidden/>
          </w:rPr>
          <w:instrText xml:space="preserve"> PAGEREF _Toc448736169 \h </w:instrText>
        </w:r>
        <w:r>
          <w:rPr>
            <w:webHidden/>
          </w:rPr>
        </w:r>
        <w:r>
          <w:rPr>
            <w:webHidden/>
          </w:rPr>
          <w:fldChar w:fldCharType="separate"/>
        </w:r>
        <w:r>
          <w:rPr>
            <w:webHidden/>
          </w:rPr>
          <w:t>- 34 -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0" w:history="1">
        <w:r w:rsidRPr="00BB7924">
          <w:rPr>
            <w:rStyle w:val="Hypertextovodkaz"/>
          </w:rPr>
          <w:t>3.2.</w:t>
        </w:r>
        <w:r>
          <w:rPr>
            <w:rFonts w:asciiTheme="minorHAnsi" w:eastAsiaTheme="minorEastAsia" w:hAnsiTheme="minorHAnsi" w:cstheme="minorBidi"/>
            <w:b w:val="0"/>
            <w:smallCaps w:val="0"/>
            <w:sz w:val="22"/>
            <w:szCs w:val="22"/>
            <w:lang w:val="en-GB" w:eastAsia="en-GB"/>
          </w:rPr>
          <w:tab/>
        </w:r>
        <w:r w:rsidRPr="00BB7924">
          <w:rPr>
            <w:rStyle w:val="Hypertextovodkaz"/>
          </w:rPr>
          <w:t>ATAD, článek 4: Omezení odečitatelnosti úroků</w:t>
        </w:r>
        <w:r>
          <w:rPr>
            <w:webHidden/>
          </w:rPr>
          <w:tab/>
        </w:r>
        <w:r>
          <w:rPr>
            <w:webHidden/>
          </w:rPr>
          <w:fldChar w:fldCharType="begin"/>
        </w:r>
        <w:r>
          <w:rPr>
            <w:webHidden/>
          </w:rPr>
          <w:instrText xml:space="preserve"> PAGEREF _Toc448736170 \h </w:instrText>
        </w:r>
        <w:r>
          <w:rPr>
            <w:webHidden/>
          </w:rPr>
        </w:r>
        <w:r>
          <w:rPr>
            <w:webHidden/>
          </w:rPr>
          <w:fldChar w:fldCharType="separate"/>
        </w:r>
        <w:r>
          <w:rPr>
            <w:webHidden/>
          </w:rPr>
          <w:t>- 35 -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1" w:history="1">
        <w:r w:rsidRPr="00BB7924">
          <w:rPr>
            <w:rStyle w:val="Hypertextovodkaz"/>
          </w:rPr>
          <w:t>3.3.</w:t>
        </w:r>
        <w:r>
          <w:rPr>
            <w:rFonts w:asciiTheme="minorHAnsi" w:eastAsiaTheme="minorEastAsia" w:hAnsiTheme="minorHAnsi" w:cstheme="minorBidi"/>
            <w:b w:val="0"/>
            <w:smallCaps w:val="0"/>
            <w:sz w:val="22"/>
            <w:szCs w:val="22"/>
            <w:lang w:val="en-GB" w:eastAsia="en-GB"/>
          </w:rPr>
          <w:tab/>
        </w:r>
        <w:r w:rsidRPr="00BB7924">
          <w:rPr>
            <w:rStyle w:val="Hypertextovodkaz"/>
          </w:rPr>
          <w:t>ATAD, článek 5: Zdanění při odchodu</w:t>
        </w:r>
        <w:r>
          <w:rPr>
            <w:webHidden/>
          </w:rPr>
          <w:tab/>
        </w:r>
        <w:r>
          <w:rPr>
            <w:webHidden/>
          </w:rPr>
          <w:fldChar w:fldCharType="begin"/>
        </w:r>
        <w:r>
          <w:rPr>
            <w:webHidden/>
          </w:rPr>
          <w:instrText xml:space="preserve"> PAGEREF _Toc448736171 \h </w:instrText>
        </w:r>
        <w:r>
          <w:rPr>
            <w:webHidden/>
          </w:rPr>
        </w:r>
        <w:r>
          <w:rPr>
            <w:webHidden/>
          </w:rPr>
          <w:fldChar w:fldCharType="separate"/>
        </w:r>
        <w:r>
          <w:rPr>
            <w:webHidden/>
          </w:rPr>
          <w:t>- 36 -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2" w:history="1">
        <w:r w:rsidRPr="00BB7924">
          <w:rPr>
            <w:rStyle w:val="Hypertextovodkaz"/>
          </w:rPr>
          <w:t>3.4.</w:t>
        </w:r>
        <w:r>
          <w:rPr>
            <w:rFonts w:asciiTheme="minorHAnsi" w:eastAsiaTheme="minorEastAsia" w:hAnsiTheme="minorHAnsi" w:cstheme="minorBidi"/>
            <w:b w:val="0"/>
            <w:smallCaps w:val="0"/>
            <w:sz w:val="22"/>
            <w:szCs w:val="22"/>
            <w:lang w:val="en-GB" w:eastAsia="en-GB"/>
          </w:rPr>
          <w:tab/>
        </w:r>
        <w:r w:rsidRPr="00BB7924">
          <w:rPr>
            <w:rStyle w:val="Hypertextovodkaz"/>
          </w:rPr>
          <w:t>ATAD, článek 6: Případy, kdy se osvobození neuplatní (switch-over clause)</w:t>
        </w:r>
        <w:r>
          <w:rPr>
            <w:webHidden/>
          </w:rPr>
          <w:tab/>
        </w:r>
        <w:r>
          <w:rPr>
            <w:webHidden/>
          </w:rPr>
          <w:fldChar w:fldCharType="begin"/>
        </w:r>
        <w:r>
          <w:rPr>
            <w:webHidden/>
          </w:rPr>
          <w:instrText xml:space="preserve"> PAGEREF _Toc448736172 \h </w:instrText>
        </w:r>
        <w:r>
          <w:rPr>
            <w:webHidden/>
          </w:rPr>
        </w:r>
        <w:r>
          <w:rPr>
            <w:webHidden/>
          </w:rPr>
          <w:fldChar w:fldCharType="separate"/>
        </w:r>
        <w:r>
          <w:rPr>
            <w:webHidden/>
          </w:rPr>
          <w:t>- 37 -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3" w:history="1">
        <w:r w:rsidRPr="00BB7924">
          <w:rPr>
            <w:rStyle w:val="Hypertextovodkaz"/>
          </w:rPr>
          <w:t>3.5.</w:t>
        </w:r>
        <w:r>
          <w:rPr>
            <w:rFonts w:asciiTheme="minorHAnsi" w:eastAsiaTheme="minorEastAsia" w:hAnsiTheme="minorHAnsi" w:cstheme="minorBidi"/>
            <w:b w:val="0"/>
            <w:smallCaps w:val="0"/>
            <w:sz w:val="22"/>
            <w:szCs w:val="22"/>
            <w:lang w:val="en-GB" w:eastAsia="en-GB"/>
          </w:rPr>
          <w:tab/>
        </w:r>
        <w:r w:rsidRPr="00BB7924">
          <w:rPr>
            <w:rStyle w:val="Hypertextovodkaz"/>
          </w:rPr>
          <w:t>ATAD, článek 7: Obecné pravidlo proti zneužívání (GAAR)</w:t>
        </w:r>
        <w:r>
          <w:rPr>
            <w:webHidden/>
          </w:rPr>
          <w:tab/>
        </w:r>
        <w:r>
          <w:rPr>
            <w:webHidden/>
          </w:rPr>
          <w:fldChar w:fldCharType="begin"/>
        </w:r>
        <w:r>
          <w:rPr>
            <w:webHidden/>
          </w:rPr>
          <w:instrText xml:space="preserve"> PAGEREF _Toc448736173 \h </w:instrText>
        </w:r>
        <w:r>
          <w:rPr>
            <w:webHidden/>
          </w:rPr>
        </w:r>
        <w:r>
          <w:rPr>
            <w:webHidden/>
          </w:rPr>
          <w:fldChar w:fldCharType="separate"/>
        </w:r>
        <w:r>
          <w:rPr>
            <w:webHidden/>
          </w:rPr>
          <w:t>- 38 -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4" w:history="1">
        <w:r w:rsidRPr="00BB7924">
          <w:rPr>
            <w:rStyle w:val="Hypertextovodkaz"/>
          </w:rPr>
          <w:t>3.6.</w:t>
        </w:r>
        <w:r>
          <w:rPr>
            <w:rFonts w:asciiTheme="minorHAnsi" w:eastAsiaTheme="minorEastAsia" w:hAnsiTheme="minorHAnsi" w:cstheme="minorBidi"/>
            <w:b w:val="0"/>
            <w:smallCaps w:val="0"/>
            <w:sz w:val="22"/>
            <w:szCs w:val="22"/>
            <w:lang w:val="en-GB" w:eastAsia="en-GB"/>
          </w:rPr>
          <w:tab/>
        </w:r>
        <w:r w:rsidRPr="00BB7924">
          <w:rPr>
            <w:rStyle w:val="Hypertextovodkaz"/>
          </w:rPr>
          <w:t>ATAD, článek 8: Pravidla pro zdaňování ovládaných zahraničních společností (CFC pravidla)</w:t>
        </w:r>
        <w:r>
          <w:rPr>
            <w:webHidden/>
          </w:rPr>
          <w:tab/>
        </w:r>
        <w:r>
          <w:rPr>
            <w:webHidden/>
          </w:rPr>
          <w:fldChar w:fldCharType="begin"/>
        </w:r>
        <w:r>
          <w:rPr>
            <w:webHidden/>
          </w:rPr>
          <w:instrText xml:space="preserve"> PAGEREF _Toc448736174 \h </w:instrText>
        </w:r>
        <w:r>
          <w:rPr>
            <w:webHidden/>
          </w:rPr>
        </w:r>
        <w:r>
          <w:rPr>
            <w:webHidden/>
          </w:rPr>
          <w:fldChar w:fldCharType="separate"/>
        </w:r>
        <w:r>
          <w:rPr>
            <w:webHidden/>
          </w:rPr>
          <w:t>- 39 -</w:t>
        </w:r>
        <w:r>
          <w:rPr>
            <w:webHidden/>
          </w:rPr>
          <w:fldChar w:fldCharType="end"/>
        </w:r>
      </w:hyperlink>
    </w:p>
    <w:p w:rsidR="00BB1956" w:rsidRDefault="00BB1956">
      <w:pPr>
        <w:pStyle w:val="Obsah2"/>
        <w:rPr>
          <w:rFonts w:asciiTheme="minorHAnsi" w:eastAsiaTheme="minorEastAsia" w:hAnsiTheme="minorHAnsi" w:cstheme="minorBidi"/>
          <w:b w:val="0"/>
          <w:smallCaps w:val="0"/>
          <w:sz w:val="22"/>
          <w:szCs w:val="22"/>
          <w:lang w:val="en-GB" w:eastAsia="en-GB"/>
        </w:rPr>
      </w:pPr>
      <w:hyperlink w:anchor="_Toc448736175" w:history="1">
        <w:r w:rsidRPr="00BB7924">
          <w:rPr>
            <w:rStyle w:val="Hypertextovodkaz"/>
          </w:rPr>
          <w:t>3.7.</w:t>
        </w:r>
        <w:r>
          <w:rPr>
            <w:rFonts w:asciiTheme="minorHAnsi" w:eastAsiaTheme="minorEastAsia" w:hAnsiTheme="minorHAnsi" w:cstheme="minorBidi"/>
            <w:b w:val="0"/>
            <w:smallCaps w:val="0"/>
            <w:sz w:val="22"/>
            <w:szCs w:val="22"/>
            <w:lang w:val="en-GB" w:eastAsia="en-GB"/>
          </w:rPr>
          <w:tab/>
        </w:r>
        <w:r w:rsidRPr="00BB7924">
          <w:rPr>
            <w:rStyle w:val="Hypertextovodkaz"/>
          </w:rPr>
          <w:t>ATAD, článek 10: Pravidla pro hybridní schémata využívající nesouladu mezi daňovými systémy</w:t>
        </w:r>
        <w:r>
          <w:rPr>
            <w:webHidden/>
          </w:rPr>
          <w:tab/>
        </w:r>
        <w:r>
          <w:rPr>
            <w:webHidden/>
          </w:rPr>
          <w:fldChar w:fldCharType="begin"/>
        </w:r>
        <w:r>
          <w:rPr>
            <w:webHidden/>
          </w:rPr>
          <w:instrText xml:space="preserve"> PAGEREF _Toc448736175 \h </w:instrText>
        </w:r>
        <w:r>
          <w:rPr>
            <w:webHidden/>
          </w:rPr>
        </w:r>
        <w:r>
          <w:rPr>
            <w:webHidden/>
          </w:rPr>
          <w:fldChar w:fldCharType="separate"/>
        </w:r>
        <w:r>
          <w:rPr>
            <w:webHidden/>
          </w:rPr>
          <w:t>- 40 -</w:t>
        </w:r>
        <w:r>
          <w:rPr>
            <w:webHidden/>
          </w:rPr>
          <w:fldChar w:fldCharType="end"/>
        </w:r>
      </w:hyperlink>
    </w:p>
    <w:p w:rsidR="00BB1956" w:rsidRDefault="00BB1956">
      <w:pPr>
        <w:pStyle w:val="Obsah1"/>
        <w:tabs>
          <w:tab w:val="left" w:pos="480"/>
          <w:tab w:val="right" w:leader="underscore" w:pos="9062"/>
        </w:tabs>
        <w:rPr>
          <w:rFonts w:asciiTheme="minorHAnsi" w:eastAsiaTheme="minorEastAsia" w:hAnsiTheme="minorHAnsi" w:cstheme="minorBidi"/>
          <w:b w:val="0"/>
          <w:bCs w:val="0"/>
          <w:caps w:val="0"/>
          <w:noProof/>
          <w:sz w:val="22"/>
          <w:szCs w:val="22"/>
          <w:lang w:val="en-GB" w:eastAsia="en-GB"/>
        </w:rPr>
      </w:pPr>
      <w:hyperlink w:anchor="_Toc448736176" w:history="1">
        <w:r w:rsidRPr="00BB7924">
          <w:rPr>
            <w:rStyle w:val="Hypertextovodkaz"/>
            <w:noProof/>
          </w:rPr>
          <w:t>4.</w:t>
        </w:r>
        <w:r>
          <w:rPr>
            <w:rFonts w:asciiTheme="minorHAnsi" w:eastAsiaTheme="minorEastAsia" w:hAnsiTheme="minorHAnsi" w:cstheme="minorBidi"/>
            <w:b w:val="0"/>
            <w:bCs w:val="0"/>
            <w:caps w:val="0"/>
            <w:noProof/>
            <w:sz w:val="22"/>
            <w:szCs w:val="22"/>
            <w:lang w:val="en-GB" w:eastAsia="en-GB"/>
          </w:rPr>
          <w:tab/>
        </w:r>
        <w:r w:rsidRPr="00BB7924">
          <w:rPr>
            <w:rStyle w:val="Hypertextovodkaz"/>
            <w:noProof/>
          </w:rPr>
          <w:t>DAC4: Výměna informací zpráv podle jednotlivých zemí (country-by-country reporting)</w:t>
        </w:r>
        <w:r>
          <w:rPr>
            <w:noProof/>
            <w:webHidden/>
          </w:rPr>
          <w:tab/>
        </w:r>
        <w:r>
          <w:rPr>
            <w:noProof/>
            <w:webHidden/>
          </w:rPr>
          <w:fldChar w:fldCharType="begin"/>
        </w:r>
        <w:r>
          <w:rPr>
            <w:noProof/>
            <w:webHidden/>
          </w:rPr>
          <w:instrText xml:space="preserve"> PAGEREF _Toc448736176 \h </w:instrText>
        </w:r>
        <w:r>
          <w:rPr>
            <w:noProof/>
            <w:webHidden/>
          </w:rPr>
        </w:r>
        <w:r>
          <w:rPr>
            <w:noProof/>
            <w:webHidden/>
          </w:rPr>
          <w:fldChar w:fldCharType="separate"/>
        </w:r>
        <w:r>
          <w:rPr>
            <w:noProof/>
            <w:webHidden/>
          </w:rPr>
          <w:t>- 41 -</w:t>
        </w:r>
        <w:r>
          <w:rPr>
            <w:noProof/>
            <w:webHidden/>
          </w:rPr>
          <w:fldChar w:fldCharType="end"/>
        </w:r>
      </w:hyperlink>
    </w:p>
    <w:p w:rsidR="008E04B1" w:rsidRPr="007F0A4A" w:rsidRDefault="008E04B1" w:rsidP="005A37BD">
      <w:pPr>
        <w:rPr>
          <w:b/>
          <w:bCs/>
          <w:caps/>
          <w:sz w:val="20"/>
          <w:szCs w:val="20"/>
        </w:rPr>
      </w:pPr>
      <w:r w:rsidRPr="007F0A4A">
        <w:rPr>
          <w:b/>
          <w:bCs/>
          <w:caps/>
        </w:rPr>
        <w:fldChar w:fldCharType="end"/>
      </w:r>
    </w:p>
    <w:p w:rsidR="008E04B1" w:rsidRPr="007F0A4A" w:rsidRDefault="008E04B1" w:rsidP="005A37BD">
      <w:pPr>
        <w:jc w:val="left"/>
        <w:rPr>
          <w:b/>
          <w:bCs/>
          <w:caps/>
          <w:sz w:val="20"/>
          <w:szCs w:val="20"/>
        </w:rPr>
      </w:pPr>
    </w:p>
    <w:p w:rsidR="008E04B1" w:rsidRPr="007F0A4A" w:rsidRDefault="008E04B1" w:rsidP="005A37BD">
      <w:pPr>
        <w:pStyle w:val="Nadpis1"/>
      </w:pPr>
      <w:bookmarkStart w:id="1" w:name="_Toc448736153"/>
      <w:r>
        <w:lastRenderedPageBreak/>
        <w:t>Úvod</w:t>
      </w:r>
      <w:bookmarkEnd w:id="1"/>
    </w:p>
    <w:p w:rsidR="008E04B1" w:rsidRPr="007F0A4A" w:rsidRDefault="008E04B1" w:rsidP="005A37BD"/>
    <w:p w:rsidR="008E04B1" w:rsidRDefault="008E04B1" w:rsidP="00192CAD">
      <w:pPr>
        <w:pageBreakBefore/>
        <w:rPr>
          <w:lang w:eastAsia="cs-CZ"/>
        </w:rPr>
      </w:pPr>
    </w:p>
    <w:p w:rsidR="008E04B1" w:rsidRDefault="008E04B1" w:rsidP="00FF52A9">
      <w:pPr>
        <w:rPr>
          <w:lang w:eastAsia="cs-CZ"/>
        </w:rPr>
      </w:pPr>
      <w:r>
        <w:rPr>
          <w:lang w:eastAsia="cs-CZ"/>
        </w:rPr>
        <w:t>Mezinárodní daňová optimalizace nadnárodních společností není novým jevem. Přesto nebyla až do vzniku projektu OECD BEPS předmětem tak soustředěné mezinárodní debaty. Bezprostřední motivací pro vznik projektu BEPS byla finanční a hospodářská krize probíhající v letech 2008 a 2009, kdy většina států včetně ČR zaváděla úsporná opatření, zvyšovala daně, zejména nepřímé a snižovala veřejné výdaje. Tento nepříznivý fiskální vývoj, ekonomická situace a nezaměstnanost zhoršovaly postavení zejména nízkopříjmových skupin.</w:t>
      </w:r>
    </w:p>
    <w:p w:rsidR="008E04B1" w:rsidRDefault="008E04B1" w:rsidP="00CC6E1D">
      <w:pPr>
        <w:rPr>
          <w:lang w:eastAsia="cs-CZ"/>
        </w:rPr>
      </w:pPr>
      <w:r>
        <w:rPr>
          <w:lang w:eastAsia="cs-CZ"/>
        </w:rPr>
        <w:t>Konkrétní příklady, jak velké nadnárodní firmy snižují své daňové povinnosti, se v kontrastu tohoto vývoje ukazovaly jako stále křiklavější. Chování těchto firem bylo stále více vnímáno jako neetické a bylo poukazováno na to, že velké korporace nepřispívají k fiskální konsolidaci, což vyžaduje ještě větší daňové zatížení jednotlivců.</w:t>
      </w:r>
    </w:p>
    <w:p w:rsidR="008E04B1" w:rsidRDefault="008E04B1" w:rsidP="00CC6E1D">
      <w:pPr>
        <w:rPr>
          <w:lang w:eastAsia="cs-CZ"/>
        </w:rPr>
      </w:pPr>
      <w:r>
        <w:rPr>
          <w:lang w:eastAsia="cs-CZ"/>
        </w:rPr>
        <w:t>Z nedávných ekonomických analýz vyplývá, že roční ztráty veřejných rozpočtů z důvodů agresivního daňového plánování nadnárodních firem se pohybují mezi 4 % a 10 % celkových globálních výnosů daně z příjmů právnických osob, tedy mezi 100 miliardami a 240 miliardami USD</w:t>
      </w:r>
      <w:r>
        <w:rPr>
          <w:rStyle w:val="Znakapoznpodarou"/>
          <w:lang w:eastAsia="cs-CZ"/>
        </w:rPr>
        <w:footnoteReference w:id="1"/>
      </w:r>
      <w:r>
        <w:rPr>
          <w:lang w:eastAsia="cs-CZ"/>
        </w:rPr>
        <w:t>. Pro Českou republiku to znamená ztrátu ve výši 6 mld. až 15 mld. Kč.</w:t>
      </w:r>
    </w:p>
    <w:p w:rsidR="008E04B1" w:rsidRDefault="008E04B1" w:rsidP="00CC6E1D">
      <w:pPr>
        <w:rPr>
          <w:lang w:eastAsia="cs-CZ"/>
        </w:rPr>
      </w:pPr>
      <w:r>
        <w:rPr>
          <w:lang w:eastAsia="cs-CZ"/>
        </w:rPr>
        <w:t>Na pozadí tohoto vývoje probíhaly v roce 2011a 2012 diskuse na Výboru pro fiskální záležitosti (</w:t>
      </w:r>
      <w:proofErr w:type="spellStart"/>
      <w:r>
        <w:rPr>
          <w:lang w:eastAsia="cs-CZ"/>
        </w:rPr>
        <w:t>Committee</w:t>
      </w:r>
      <w:proofErr w:type="spellEnd"/>
      <w:r>
        <w:rPr>
          <w:lang w:eastAsia="cs-CZ"/>
        </w:rPr>
        <w:t xml:space="preserve"> on </w:t>
      </w:r>
      <w:proofErr w:type="spellStart"/>
      <w:r>
        <w:rPr>
          <w:lang w:eastAsia="cs-CZ"/>
        </w:rPr>
        <w:t>Fiscal</w:t>
      </w:r>
      <w:proofErr w:type="spellEnd"/>
      <w:r>
        <w:rPr>
          <w:lang w:eastAsia="cs-CZ"/>
        </w:rPr>
        <w:t xml:space="preserve"> </w:t>
      </w:r>
      <w:proofErr w:type="spellStart"/>
      <w:r>
        <w:rPr>
          <w:lang w:eastAsia="cs-CZ"/>
        </w:rPr>
        <w:t>Affairs</w:t>
      </w:r>
      <w:proofErr w:type="spellEnd"/>
      <w:r>
        <w:rPr>
          <w:lang w:eastAsia="cs-CZ"/>
        </w:rPr>
        <w:t>, CFA) OECD. Ukázalo se, že státy jako USA a Čína, tradičně zastávající protichůdná stanoviska na rozsah zdanění v zemích, kde probíhá výroba, a v zemích vlastníků investic (např. otázka výše srážkových daní na licenční poplatky), se shodnou v otázce nutnosti boje proti agresivnímu daňovému plánování, protože eroze daňových základů a přesouvání zisků poškozuje všechny.</w:t>
      </w:r>
    </w:p>
    <w:p w:rsidR="008E04B1" w:rsidRDefault="008E04B1" w:rsidP="00CC6E1D">
      <w:pPr>
        <w:rPr>
          <w:lang w:eastAsia="cs-CZ"/>
        </w:rPr>
      </w:pPr>
      <w:r>
        <w:rPr>
          <w:lang w:eastAsia="cs-CZ"/>
        </w:rPr>
        <w:t>V únoru 2013 tak byla publikována zpráva „</w:t>
      </w:r>
      <w:proofErr w:type="spellStart"/>
      <w:r>
        <w:rPr>
          <w:lang w:eastAsia="cs-CZ"/>
        </w:rPr>
        <w:t>Addressing</w:t>
      </w:r>
      <w:proofErr w:type="spellEnd"/>
      <w:r>
        <w:rPr>
          <w:lang w:eastAsia="cs-CZ"/>
        </w:rPr>
        <w:t xml:space="preserve"> Base </w:t>
      </w:r>
      <w:proofErr w:type="spellStart"/>
      <w:r>
        <w:rPr>
          <w:lang w:eastAsia="cs-CZ"/>
        </w:rPr>
        <w:t>Erosion</w:t>
      </w:r>
      <w:proofErr w:type="spellEnd"/>
      <w:r>
        <w:rPr>
          <w:lang w:eastAsia="cs-CZ"/>
        </w:rPr>
        <w:t xml:space="preserve"> and Profit </w:t>
      </w:r>
      <w:proofErr w:type="spellStart"/>
      <w:r>
        <w:rPr>
          <w:lang w:eastAsia="cs-CZ"/>
        </w:rPr>
        <w:t>Shifting</w:t>
      </w:r>
      <w:proofErr w:type="spellEnd"/>
      <w:r>
        <w:rPr>
          <w:rStyle w:val="Znakapoznpodarou"/>
          <w:lang w:eastAsia="cs-CZ"/>
        </w:rPr>
        <w:footnoteReference w:id="2"/>
      </w:r>
      <w:r>
        <w:rPr>
          <w:lang w:eastAsia="cs-CZ"/>
        </w:rPr>
        <w:t>“, která definovala problém, kterým se CFA chtěl zabývat. Konkrétnější obrysy pak projekt dostal v dokumentu „</w:t>
      </w:r>
      <w:proofErr w:type="spellStart"/>
      <w:r>
        <w:rPr>
          <w:lang w:eastAsia="cs-CZ"/>
        </w:rPr>
        <w:t>Action</w:t>
      </w:r>
      <w:proofErr w:type="spellEnd"/>
      <w:r>
        <w:rPr>
          <w:lang w:eastAsia="cs-CZ"/>
        </w:rPr>
        <w:t xml:space="preserve"> </w:t>
      </w:r>
      <w:proofErr w:type="spellStart"/>
      <w:r>
        <w:rPr>
          <w:lang w:eastAsia="cs-CZ"/>
        </w:rPr>
        <w:t>Plan</w:t>
      </w:r>
      <w:proofErr w:type="spellEnd"/>
      <w:r>
        <w:rPr>
          <w:lang w:eastAsia="cs-CZ"/>
        </w:rPr>
        <w:t xml:space="preserve"> on Base </w:t>
      </w:r>
      <w:proofErr w:type="spellStart"/>
      <w:r>
        <w:rPr>
          <w:lang w:eastAsia="cs-CZ"/>
        </w:rPr>
        <w:t>Erosion</w:t>
      </w:r>
      <w:proofErr w:type="spellEnd"/>
      <w:r>
        <w:rPr>
          <w:lang w:eastAsia="cs-CZ"/>
        </w:rPr>
        <w:t xml:space="preserve"> and Profit </w:t>
      </w:r>
      <w:proofErr w:type="spellStart"/>
      <w:r>
        <w:rPr>
          <w:lang w:eastAsia="cs-CZ"/>
        </w:rPr>
        <w:t>Shifting</w:t>
      </w:r>
      <w:proofErr w:type="spellEnd"/>
      <w:r>
        <w:rPr>
          <w:lang w:eastAsia="cs-CZ"/>
        </w:rPr>
        <w:t>“</w:t>
      </w:r>
      <w:r>
        <w:rPr>
          <w:rStyle w:val="Znakapoznpodarou"/>
          <w:lang w:eastAsia="cs-CZ"/>
        </w:rPr>
        <w:footnoteReference w:id="3"/>
      </w:r>
      <w:r>
        <w:rPr>
          <w:lang w:eastAsia="cs-CZ"/>
        </w:rPr>
        <w:t>, který byl publikován v červenci 2013. Hlavní myšlenkou Akčního plánu bylo, že zisk má být zdaňován tam, kde probíhá ekonomická aktivita, která ho vytvořila.</w:t>
      </w:r>
    </w:p>
    <w:p w:rsidR="008E04B1" w:rsidRDefault="008E04B1" w:rsidP="00CC6E1D">
      <w:pPr>
        <w:rPr>
          <w:lang w:eastAsia="cs-CZ"/>
        </w:rPr>
      </w:pPr>
      <w:r>
        <w:rPr>
          <w:lang w:eastAsia="cs-CZ"/>
        </w:rPr>
        <w:t>Po dvou letech byl projekt BEPS završen a v září 2015 bylo publikováno 15 závěrečných zpráv</w:t>
      </w:r>
      <w:r>
        <w:rPr>
          <w:rStyle w:val="Znakapoznpodarou"/>
          <w:lang w:eastAsia="cs-CZ"/>
        </w:rPr>
        <w:footnoteReference w:id="4"/>
      </w:r>
      <w:r>
        <w:rPr>
          <w:lang w:eastAsia="cs-CZ"/>
        </w:rPr>
        <w:t xml:space="preserve"> obsahujících doporučení v oblasti legislativy, smluv o zamezení dvojímu zdanění, postupů daňové správy a ekonomických analýz, které směřují k tomu odstranit nebo alespoň výrazně omezit možnosti nadnárodních firem optimalizovat své daňové povinnosti.</w:t>
      </w:r>
    </w:p>
    <w:p w:rsidR="008E04B1" w:rsidRDefault="008E04B1" w:rsidP="00CC6E1D">
      <w:pPr>
        <w:rPr>
          <w:lang w:eastAsia="cs-CZ"/>
        </w:rPr>
      </w:pPr>
      <w:r>
        <w:rPr>
          <w:lang w:eastAsia="cs-CZ"/>
        </w:rPr>
        <w:t>Česká republika jakožto členská země OECD projekt BEPS podporuje a na zasedání CFA v září 2015 ho spolu s ostatními státy schválila.</w:t>
      </w:r>
    </w:p>
    <w:p w:rsidR="008E04B1" w:rsidRDefault="008E04B1" w:rsidP="00CC6E1D">
      <w:pPr>
        <w:rPr>
          <w:lang w:eastAsia="cs-CZ"/>
        </w:rPr>
      </w:pPr>
      <w:r>
        <w:rPr>
          <w:lang w:eastAsia="cs-CZ"/>
        </w:rPr>
        <w:t>Vzhledem ke specifické situaci států EU, kde část pravomocí v daňové oblasti byla přesunuta na Evropskou unii, zareagovala Evropská komise v lednu 2016 na projekt BEPS balíčkem proti vyhýbání se daňovým povinnostem</w:t>
      </w:r>
      <w:r>
        <w:rPr>
          <w:rStyle w:val="Znakapoznpodarou"/>
          <w:lang w:eastAsia="cs-CZ"/>
        </w:rPr>
        <w:footnoteReference w:id="5"/>
      </w:r>
      <w:r>
        <w:rPr>
          <w:lang w:eastAsia="cs-CZ"/>
        </w:rPr>
        <w:t xml:space="preserve">. Balíček obsahuje dva legislativní návrhy, které implementují některé z Akcí projektu BEPS OECD, a přináší některé další návrhy. </w:t>
      </w:r>
    </w:p>
    <w:p w:rsidR="008E04B1" w:rsidRDefault="008E04B1" w:rsidP="005A37BD">
      <w:r>
        <w:t>Následující dokument přináší stručný přehled jednotlivých navržených opatření, včetně základního posouzení možných přínosů a nákladů jednotlivých opatření.</w:t>
      </w:r>
    </w:p>
    <w:p w:rsidR="008E04B1" w:rsidRPr="00C21D82" w:rsidRDefault="008E04B1" w:rsidP="005A37BD">
      <w:r>
        <w:lastRenderedPageBreak/>
        <w:t xml:space="preserve">Doporučení OECD nejsou z principu závazná, ale pokud se státy dohodly na některých opatřeních jako na tzv. „minimálním standardu“, očekává se, že je budou všechny státy implementovat. U ostatních opatření mají státy volbu, zda a jak je implementovat. Řada opatření </w:t>
      </w:r>
      <w:r w:rsidRPr="00C21D82">
        <w:t>byla navržena alternativně, což rovněž členským státům poskytuje flexibilitu při jejich implementaci.</w:t>
      </w:r>
    </w:p>
    <w:p w:rsidR="008E04B1" w:rsidRPr="00C21D82" w:rsidRDefault="008E04B1" w:rsidP="005A37BD">
      <w:r w:rsidRPr="00C21D82">
        <w:t>Směrnice EU jsou naproti tomu závazné pro všechny členské státy, pokud budou schváleny.</w:t>
      </w:r>
    </w:p>
    <w:p w:rsidR="008E04B1" w:rsidRDefault="008E04B1" w:rsidP="00CE2DD4">
      <w:pPr>
        <w:rPr>
          <w:lang w:eastAsia="cs-CZ"/>
        </w:rPr>
      </w:pPr>
      <w:r w:rsidRPr="00C21D82">
        <w:t xml:space="preserve">Cílem dokumentu je vyvolat diskusi o implementaci jednotlivých opatření v ČR, tj. zda a jak mají být implementovány, zda jejich přínosy převáží </w:t>
      </w:r>
      <w:r>
        <w:t xml:space="preserve">nad </w:t>
      </w:r>
      <w:r w:rsidRPr="00C21D82">
        <w:t>náklady.</w:t>
      </w:r>
      <w:r>
        <w:t xml:space="preserve"> Zejména náklady, které by implementace uvedených návrhů přinesla daňovým poplatníkům, nelze bez spolupráce s daňovými poplatníky identifikovat. To je zvláště důležité u návrhů s nejvyšší časovou prioritou, tj. DAC4</w:t>
      </w:r>
      <w:r>
        <w:rPr>
          <w:lang w:eastAsia="cs-CZ"/>
        </w:rPr>
        <w:t>.</w:t>
      </w:r>
    </w:p>
    <w:p w:rsidR="008E04B1" w:rsidRPr="007F0A4A" w:rsidRDefault="008E04B1" w:rsidP="005A37BD"/>
    <w:p w:rsidR="008E04B1" w:rsidRPr="007F0A4A" w:rsidRDefault="008E04B1" w:rsidP="005A37BD">
      <w:pPr>
        <w:pStyle w:val="Nadpis1"/>
      </w:pPr>
      <w:bookmarkStart w:id="2" w:name="_Toc448736154"/>
      <w:r w:rsidRPr="007F0A4A">
        <w:lastRenderedPageBreak/>
        <w:t>Projekt OECD</w:t>
      </w:r>
      <w:r>
        <w:t xml:space="preserve"> </w:t>
      </w:r>
      <w:r>
        <w:br/>
      </w:r>
      <w:r w:rsidRPr="007F0A4A">
        <w:t xml:space="preserve">Eroze daňových základů a </w:t>
      </w:r>
      <w:r>
        <w:t>přesouvání</w:t>
      </w:r>
      <w:r w:rsidRPr="007F0A4A">
        <w:t xml:space="preserve"> zisků </w:t>
      </w:r>
      <w:r w:rsidRPr="007F0A4A">
        <w:br/>
        <w:t>(BEPS)</w:t>
      </w:r>
      <w:bookmarkEnd w:id="2"/>
    </w:p>
    <w:p w:rsidR="008E04B1" w:rsidRDefault="008E04B1" w:rsidP="005A37BD">
      <w:pPr>
        <w:pStyle w:val="Nadpis2"/>
        <w:spacing w:before="120"/>
      </w:pPr>
      <w:bookmarkStart w:id="3" w:name="_Toc448736155"/>
      <w:r w:rsidRPr="007F0A4A">
        <w:lastRenderedPageBreak/>
        <w:t>Úvod</w:t>
      </w:r>
      <w:bookmarkEnd w:id="3"/>
    </w:p>
    <w:p w:rsidR="008E04B1" w:rsidRDefault="008E04B1" w:rsidP="003A063D">
      <w:pPr>
        <w:rPr>
          <w:lang w:eastAsia="cs-CZ"/>
        </w:rPr>
      </w:pPr>
      <w:r>
        <w:rPr>
          <w:lang w:eastAsia="cs-CZ"/>
        </w:rPr>
        <w:t>Kapitola 2 obsahuje přehled jednotlivých Akcí projektu BEPS:</w:t>
      </w:r>
    </w:p>
    <w:p w:rsidR="008E04B1" w:rsidRDefault="008E04B1" w:rsidP="004A6DC0">
      <w:pPr>
        <w:numPr>
          <w:ilvl w:val="0"/>
          <w:numId w:val="36"/>
        </w:numPr>
        <w:rPr>
          <w:lang w:eastAsia="cs-CZ"/>
        </w:rPr>
      </w:pPr>
      <w:r>
        <w:rPr>
          <w:lang w:eastAsia="cs-CZ"/>
        </w:rPr>
        <w:t>Akce 1: Daňové výzvy digitální ekonomiky</w:t>
      </w:r>
    </w:p>
    <w:p w:rsidR="008E04B1" w:rsidRDefault="008E04B1" w:rsidP="004A6DC0">
      <w:pPr>
        <w:numPr>
          <w:ilvl w:val="0"/>
          <w:numId w:val="36"/>
        </w:numPr>
        <w:rPr>
          <w:lang w:eastAsia="cs-CZ"/>
        </w:rPr>
      </w:pPr>
      <w:r w:rsidRPr="004A6DC0">
        <w:rPr>
          <w:lang w:eastAsia="cs-CZ"/>
        </w:rPr>
        <w:t>Akce 2: Neutralizace efektů hybridních schémat</w:t>
      </w:r>
    </w:p>
    <w:p w:rsidR="008E04B1" w:rsidRDefault="008E04B1" w:rsidP="004A6DC0">
      <w:pPr>
        <w:numPr>
          <w:ilvl w:val="0"/>
          <w:numId w:val="36"/>
        </w:numPr>
        <w:rPr>
          <w:lang w:eastAsia="cs-CZ"/>
        </w:rPr>
      </w:pPr>
      <w:r w:rsidRPr="004A6DC0">
        <w:rPr>
          <w:lang w:eastAsia="cs-CZ"/>
        </w:rPr>
        <w:t>Akce 3: Zavedení efektivních pravidel pro zdaňování ovládaných zahraničních společností (CFC pravidla)</w:t>
      </w:r>
    </w:p>
    <w:p w:rsidR="008E04B1" w:rsidRDefault="008E04B1" w:rsidP="004A6DC0">
      <w:pPr>
        <w:numPr>
          <w:ilvl w:val="0"/>
          <w:numId w:val="36"/>
        </w:numPr>
        <w:rPr>
          <w:lang w:eastAsia="cs-CZ"/>
        </w:rPr>
      </w:pPr>
      <w:r w:rsidRPr="004A6DC0">
        <w:rPr>
          <w:lang w:eastAsia="cs-CZ"/>
        </w:rPr>
        <w:t>Akce 4: Omezení odečitatelnosti úroků</w:t>
      </w:r>
    </w:p>
    <w:p w:rsidR="008E04B1" w:rsidRDefault="008E04B1" w:rsidP="004A6DC0">
      <w:pPr>
        <w:numPr>
          <w:ilvl w:val="0"/>
          <w:numId w:val="36"/>
        </w:numPr>
        <w:rPr>
          <w:lang w:eastAsia="cs-CZ"/>
        </w:rPr>
      </w:pPr>
      <w:r w:rsidRPr="004A6DC0">
        <w:rPr>
          <w:lang w:eastAsia="cs-CZ"/>
        </w:rPr>
        <w:t>Akce 5: Efektivnější čelení škodlivým daňovým praktikám</w:t>
      </w:r>
    </w:p>
    <w:p w:rsidR="008E04B1" w:rsidRDefault="008E04B1" w:rsidP="004A6DC0">
      <w:pPr>
        <w:numPr>
          <w:ilvl w:val="0"/>
          <w:numId w:val="36"/>
        </w:numPr>
        <w:rPr>
          <w:lang w:eastAsia="cs-CZ"/>
        </w:rPr>
      </w:pPr>
      <w:r w:rsidRPr="004A6DC0">
        <w:rPr>
          <w:lang w:eastAsia="cs-CZ"/>
        </w:rPr>
        <w:t>Akce 6: Předcházení zneužívání smluv o zamezení dvojímu zdanění</w:t>
      </w:r>
    </w:p>
    <w:p w:rsidR="008E04B1" w:rsidRDefault="008E04B1" w:rsidP="004A6DC0">
      <w:pPr>
        <w:numPr>
          <w:ilvl w:val="0"/>
          <w:numId w:val="36"/>
        </w:numPr>
        <w:rPr>
          <w:lang w:eastAsia="cs-CZ"/>
        </w:rPr>
      </w:pPr>
      <w:r w:rsidRPr="004A6DC0">
        <w:rPr>
          <w:lang w:eastAsia="cs-CZ"/>
        </w:rPr>
        <w:t>Akce 7: Předcházení umělému vyhýbání se statusu stálé provozovny</w:t>
      </w:r>
    </w:p>
    <w:p w:rsidR="008E04B1" w:rsidRPr="004A6DC0" w:rsidRDefault="008E04B1" w:rsidP="004A6DC0">
      <w:pPr>
        <w:numPr>
          <w:ilvl w:val="0"/>
          <w:numId w:val="36"/>
        </w:numPr>
        <w:rPr>
          <w:lang w:eastAsia="cs-CZ"/>
        </w:rPr>
      </w:pPr>
      <w:r w:rsidRPr="004A6DC0">
        <w:rPr>
          <w:lang w:eastAsia="cs-CZ"/>
        </w:rPr>
        <w:t>Akce 8-10: Přizpůsobení převodních cen ekonomické aktivitě</w:t>
      </w:r>
    </w:p>
    <w:p w:rsidR="008E04B1" w:rsidRDefault="008E04B1" w:rsidP="004A6DC0">
      <w:pPr>
        <w:numPr>
          <w:ilvl w:val="0"/>
          <w:numId w:val="36"/>
        </w:numPr>
        <w:rPr>
          <w:lang w:eastAsia="cs-CZ"/>
        </w:rPr>
      </w:pPr>
      <w:r>
        <w:rPr>
          <w:lang w:eastAsia="cs-CZ"/>
        </w:rPr>
        <w:t>Akce 11: Měření a monitorování BEPS</w:t>
      </w:r>
    </w:p>
    <w:p w:rsidR="008E04B1" w:rsidRPr="004A6DC0" w:rsidRDefault="008E04B1" w:rsidP="004A6DC0">
      <w:pPr>
        <w:numPr>
          <w:ilvl w:val="0"/>
          <w:numId w:val="36"/>
        </w:numPr>
        <w:rPr>
          <w:lang w:eastAsia="cs-CZ"/>
        </w:rPr>
      </w:pPr>
      <w:r w:rsidRPr="004A6DC0">
        <w:rPr>
          <w:lang w:eastAsia="cs-CZ"/>
        </w:rPr>
        <w:t>Akce 12: Povinné oznamování daňově optimalizačních schémat</w:t>
      </w:r>
    </w:p>
    <w:p w:rsidR="008E04B1" w:rsidRPr="004A6DC0" w:rsidRDefault="008E04B1" w:rsidP="004A6DC0">
      <w:pPr>
        <w:numPr>
          <w:ilvl w:val="0"/>
          <w:numId w:val="36"/>
        </w:numPr>
        <w:rPr>
          <w:lang w:eastAsia="cs-CZ"/>
        </w:rPr>
      </w:pPr>
      <w:r w:rsidRPr="004A6DC0">
        <w:rPr>
          <w:lang w:eastAsia="cs-CZ"/>
        </w:rPr>
        <w:t xml:space="preserve">Akce 13: Dokumentace k převodním cenám a zpráva </w:t>
      </w:r>
      <w:r>
        <w:rPr>
          <w:lang w:eastAsia="cs-CZ"/>
        </w:rPr>
        <w:t>po</w:t>
      </w:r>
      <w:r w:rsidRPr="004A6DC0">
        <w:rPr>
          <w:lang w:eastAsia="cs-CZ"/>
        </w:rPr>
        <w:t xml:space="preserve">dle </w:t>
      </w:r>
      <w:r>
        <w:rPr>
          <w:lang w:eastAsia="cs-CZ"/>
        </w:rPr>
        <w:t xml:space="preserve">jednotlivých </w:t>
      </w:r>
      <w:r w:rsidRPr="004A6DC0">
        <w:rPr>
          <w:lang w:eastAsia="cs-CZ"/>
        </w:rPr>
        <w:t>zemí (country-by-country reporting)</w:t>
      </w:r>
    </w:p>
    <w:p w:rsidR="008E04B1" w:rsidRPr="004A6DC0" w:rsidRDefault="008E04B1" w:rsidP="004A6DC0">
      <w:pPr>
        <w:numPr>
          <w:ilvl w:val="0"/>
          <w:numId w:val="36"/>
        </w:numPr>
        <w:rPr>
          <w:lang w:eastAsia="cs-CZ"/>
        </w:rPr>
      </w:pPr>
      <w:r w:rsidRPr="004A6DC0">
        <w:rPr>
          <w:lang w:eastAsia="cs-CZ"/>
        </w:rPr>
        <w:t>Akce 14: Zefektivnění mechanismu řešení případů dohodou</w:t>
      </w:r>
    </w:p>
    <w:p w:rsidR="008E04B1" w:rsidRDefault="008E04B1" w:rsidP="004A6DC0">
      <w:pPr>
        <w:numPr>
          <w:ilvl w:val="0"/>
          <w:numId w:val="36"/>
        </w:numPr>
        <w:rPr>
          <w:lang w:eastAsia="cs-CZ"/>
        </w:rPr>
      </w:pPr>
      <w:r w:rsidRPr="004A6DC0">
        <w:rPr>
          <w:lang w:eastAsia="cs-CZ"/>
        </w:rPr>
        <w:t>Akce 15: Mnohostranný nástroj pro změnu dvoustranných daňových smluv</w:t>
      </w:r>
    </w:p>
    <w:p w:rsidR="008E04B1" w:rsidRPr="004A6DC0" w:rsidRDefault="008E04B1" w:rsidP="004A6DC0">
      <w:pPr>
        <w:rPr>
          <w:lang w:eastAsia="cs-CZ"/>
        </w:rPr>
      </w:pPr>
      <w:r>
        <w:rPr>
          <w:lang w:eastAsia="cs-CZ"/>
        </w:rPr>
        <w:t>V kapitole 2 není zahrnut popis Akce 11, která se zaměřuje na ekonomickou analýzu přesouvání zisků. Akce 11 sice obsahuje konkrétní doporučení, ale ta se netýkají daňové legislativy, ale statistiky a ekonomické analýzy dat o nadnárodních firmách, které by ulehčily ekonomický výzkum tohoto jevu v budoucnu.</w:t>
      </w:r>
    </w:p>
    <w:p w:rsidR="008E04B1" w:rsidRDefault="008E04B1" w:rsidP="00FE3EA4">
      <w:pPr>
        <w:pStyle w:val="Nadpis2"/>
        <w:spacing w:before="120"/>
        <w:ind w:left="1701" w:hanging="850"/>
      </w:pPr>
      <w:bookmarkStart w:id="4" w:name="_Toc448736156"/>
      <w:r>
        <w:lastRenderedPageBreak/>
        <w:t>Akce 1: Daňové výzvy digitální ekonomiky</w:t>
      </w:r>
      <w:bookmarkEnd w:id="4"/>
      <w:r>
        <w:t xml:space="preserve"> </w:t>
      </w:r>
    </w:p>
    <w:p w:rsidR="008E04B1" w:rsidRPr="007F0A4A" w:rsidRDefault="008E04B1" w:rsidP="00F308EE">
      <w:pPr>
        <w:pStyle w:val="Nadpis3"/>
      </w:pPr>
      <w:r>
        <w:t>Popis problému</w:t>
      </w:r>
    </w:p>
    <w:p w:rsidR="008E04B1" w:rsidRPr="00F308EE" w:rsidRDefault="008E04B1" w:rsidP="00FE3EA4">
      <w:r w:rsidRPr="00F308EE">
        <w:t xml:space="preserve">Obsahem finální zprávy je shrnutí stěžejních faktorů determinujících digitální ekonomiku. Jedná se především o levné ICT technologie, přičemž hlavními charakteristikami </w:t>
      </w:r>
      <w:r>
        <w:t>digitální ekonomiky</w:t>
      </w:r>
      <w:r w:rsidRPr="00F308EE">
        <w:t xml:space="preserve"> jsou vysoká mobilita, tendence k monopolizaci trhu a síťové efekty. Je třeba zdůraznit, že v případě </w:t>
      </w:r>
      <w:r>
        <w:t>digitální ekonomiky</w:t>
      </w:r>
      <w:r w:rsidRPr="00F308EE">
        <w:t xml:space="preserve"> se jedná o komplexní téma, protože</w:t>
      </w:r>
      <w:r w:rsidRPr="0071614C">
        <w:t xml:space="preserve"> </w:t>
      </w:r>
      <w:r>
        <w:t>digitální ekonomika</w:t>
      </w:r>
      <w:r w:rsidRPr="00F308EE">
        <w:t xml:space="preserve"> </w:t>
      </w:r>
      <w:proofErr w:type="spellStart"/>
      <w:r w:rsidRPr="00F308EE">
        <w:t>ingeruje</w:t>
      </w:r>
      <w:proofErr w:type="spellEnd"/>
      <w:r w:rsidRPr="00F308EE">
        <w:t xml:space="preserve"> svým způsobem do téměř všech ostatních oblastí BEPS. </w:t>
      </w:r>
    </w:p>
    <w:p w:rsidR="008E04B1" w:rsidRDefault="008E04B1" w:rsidP="00FE3EA4">
      <w:r w:rsidRPr="00F308EE">
        <w:t xml:space="preserve">Zároveň finální zpráva doporučuje následující kroky, které by v oblasti </w:t>
      </w:r>
      <w:r>
        <w:t>digitální ekonomiky</w:t>
      </w:r>
      <w:r w:rsidRPr="00F308EE">
        <w:t xml:space="preserve"> měly být v budoucnu učiněny.</w:t>
      </w:r>
    </w:p>
    <w:p w:rsidR="008E04B1" w:rsidRDefault="008E04B1" w:rsidP="00F9106C">
      <w:pPr>
        <w:keepNext/>
        <w:keepLines/>
        <w:spacing w:before="240"/>
        <w:jc w:val="left"/>
        <w:outlineLvl w:val="2"/>
        <w:rPr>
          <w:b/>
          <w:bCs/>
          <w:sz w:val="28"/>
          <w:szCs w:val="28"/>
          <w:lang w:eastAsia="cs-CZ"/>
        </w:rPr>
      </w:pPr>
      <w:r w:rsidRPr="00F308EE">
        <w:rPr>
          <w:b/>
          <w:bCs/>
          <w:sz w:val="28"/>
          <w:szCs w:val="28"/>
          <w:lang w:eastAsia="cs-CZ"/>
        </w:rPr>
        <w:t>Návrh řešení OECD</w:t>
      </w:r>
    </w:p>
    <w:p w:rsidR="008E04B1" w:rsidRPr="00F9106C" w:rsidRDefault="008E04B1" w:rsidP="00F9106C">
      <w:pPr>
        <w:keepNext/>
        <w:keepLines/>
        <w:spacing w:before="240"/>
        <w:jc w:val="left"/>
        <w:outlineLvl w:val="2"/>
        <w:rPr>
          <w:b/>
          <w:bCs/>
          <w:sz w:val="28"/>
          <w:szCs w:val="28"/>
          <w:lang w:eastAsia="cs-CZ"/>
        </w:rPr>
      </w:pPr>
      <w:r>
        <w:rPr>
          <w:rFonts w:ascii="Times New Roman" w:hAnsi="Times New Roman"/>
          <w:szCs w:val="24"/>
        </w:rPr>
        <w:t>V oblasti daně z příjmů právnických osob Akce 1 navrhuje:</w:t>
      </w:r>
      <w:r w:rsidRPr="00F308EE">
        <w:tab/>
      </w:r>
    </w:p>
    <w:p w:rsidR="008E04B1" w:rsidRPr="00F308EE" w:rsidRDefault="008E04B1" w:rsidP="00A95873">
      <w:pPr>
        <w:pStyle w:val="Odstavecseseznamem"/>
        <w:numPr>
          <w:ilvl w:val="0"/>
          <w:numId w:val="4"/>
        </w:numPr>
        <w:spacing w:line="276" w:lineRule="auto"/>
        <w:contextualSpacing w:val="0"/>
      </w:pPr>
      <w:r w:rsidRPr="00F308EE">
        <w:t>Úprav</w:t>
      </w:r>
      <w:r>
        <w:t>u</w:t>
      </w:r>
      <w:r w:rsidRPr="00F308EE">
        <w:t xml:space="preserve"> výjimek </w:t>
      </w:r>
      <w:r>
        <w:t>z</w:t>
      </w:r>
      <w:r w:rsidRPr="00F308EE">
        <w:t xml:space="preserve"> definic</w:t>
      </w:r>
      <w:r>
        <w:t>e</w:t>
      </w:r>
      <w:r w:rsidRPr="00F308EE">
        <w:t xml:space="preserve"> stálé provozovny, tak aby se uvedené výjimky vztahovaly pouze na ekonomické činnosti „přípravného nebo pomocného charakteru“ a nemohlo tak docházet k zneužívání těchto výjimek; dále byla navržena revize opatření proti „záměrnému tříštění“ ekonomických aktivit mezi vzájemně propojené ekonomické subjekty</w:t>
      </w:r>
      <w:r>
        <w:t>.</w:t>
      </w:r>
    </w:p>
    <w:p w:rsidR="008E04B1" w:rsidRPr="00F308EE" w:rsidRDefault="008E04B1" w:rsidP="00A95873">
      <w:pPr>
        <w:pStyle w:val="Odstavecseseznamem"/>
        <w:numPr>
          <w:ilvl w:val="0"/>
          <w:numId w:val="4"/>
        </w:numPr>
        <w:spacing w:line="276" w:lineRule="auto"/>
        <w:contextualSpacing w:val="0"/>
      </w:pPr>
      <w:r w:rsidRPr="00F308EE">
        <w:t>Modifikac</w:t>
      </w:r>
      <w:r>
        <w:t>i</w:t>
      </w:r>
      <w:r w:rsidRPr="00F308EE">
        <w:t xml:space="preserve"> definice stálé provozovny tak</w:t>
      </w:r>
      <w:r>
        <w:t>,</w:t>
      </w:r>
      <w:r w:rsidRPr="00F308EE">
        <w:t xml:space="preserve"> aby například prodej zboží dceřinou společností, která je v rámci mezinárodní korporace, byl zdaněn na úrovni dceřiné společnosti a ne na úrovni mezinárodní korporace</w:t>
      </w:r>
      <w:r>
        <w:t>.</w:t>
      </w:r>
    </w:p>
    <w:p w:rsidR="008E04B1" w:rsidRPr="00F308EE" w:rsidRDefault="008E04B1" w:rsidP="00A95873">
      <w:pPr>
        <w:pStyle w:val="Odstavecseseznamem"/>
        <w:numPr>
          <w:ilvl w:val="0"/>
          <w:numId w:val="4"/>
        </w:numPr>
        <w:spacing w:line="276" w:lineRule="auto"/>
        <w:contextualSpacing w:val="0"/>
      </w:pPr>
      <w:r w:rsidRPr="00F308EE">
        <w:t>Reviz</w:t>
      </w:r>
      <w:r>
        <w:t>i</w:t>
      </w:r>
      <w:r w:rsidRPr="00F308EE">
        <w:t xml:space="preserve"> manuálu pro převodní ceny (vlastnické právo k nehmotným aktivům tj. patenty, licence, nezakládá automaticky právo na celé příjmy plynoucí z ekonomického využití daných nehmotných aktiv; upřesnění dokumentace k převodním cenám; odstranění informační asymetrie mezi správcem daně a daňovým subjektem)</w:t>
      </w:r>
      <w:r>
        <w:t>.</w:t>
      </w:r>
    </w:p>
    <w:p w:rsidR="008E04B1" w:rsidRPr="00F308EE" w:rsidRDefault="008E04B1" w:rsidP="00FE3EA4">
      <w:r w:rsidRPr="00F308EE">
        <w:t xml:space="preserve">Výše uvedená doporučení by měla omezit současný fenomén tzv. příjmu, který nenáleží do žádné daňové jurisdikce. </w:t>
      </w:r>
    </w:p>
    <w:p w:rsidR="008E04B1" w:rsidRDefault="008E04B1" w:rsidP="00FE3EA4">
      <w:r w:rsidRPr="00D519F6">
        <w:t xml:space="preserve">Je zřejmé, že závěry finální zprávy nemohou být konečné, a to s ohledem na stále probíhající vývoj v oblasti </w:t>
      </w:r>
      <w:r>
        <w:t>digitální ekonomiky.</w:t>
      </w:r>
    </w:p>
    <w:p w:rsidR="008E04B1" w:rsidRDefault="008E04B1" w:rsidP="00F9106C">
      <w:pPr>
        <w:keepNext/>
        <w:keepLines/>
        <w:rPr>
          <w:lang w:eastAsia="cs-CZ"/>
        </w:rPr>
      </w:pPr>
      <w:r>
        <w:rPr>
          <w:lang w:eastAsia="cs-CZ"/>
        </w:rPr>
        <w:t xml:space="preserve">Akce 1 se zabývá rovněž problematikou </w:t>
      </w:r>
      <w:r w:rsidRPr="00DE31BE">
        <w:rPr>
          <w:b/>
          <w:lang w:eastAsia="cs-CZ"/>
        </w:rPr>
        <w:t>daně z přidané hodnoty</w:t>
      </w:r>
      <w:r>
        <w:rPr>
          <w:b/>
          <w:lang w:eastAsia="cs-CZ"/>
        </w:rPr>
        <w:t xml:space="preserve"> </w:t>
      </w:r>
      <w:r>
        <w:rPr>
          <w:lang w:eastAsia="cs-CZ"/>
        </w:rPr>
        <w:t xml:space="preserve">u přeshraničních transakcí. V této oblasti se doporučuje: </w:t>
      </w:r>
    </w:p>
    <w:p w:rsidR="008E04B1" w:rsidRPr="00D519F6" w:rsidRDefault="008E04B1" w:rsidP="00A95873">
      <w:pPr>
        <w:pStyle w:val="Odstavecseseznamem"/>
        <w:numPr>
          <w:ilvl w:val="0"/>
          <w:numId w:val="4"/>
        </w:numPr>
        <w:spacing w:line="276" w:lineRule="auto"/>
        <w:contextualSpacing w:val="0"/>
      </w:pPr>
      <w:r>
        <w:t>P</w:t>
      </w:r>
      <w:r w:rsidRPr="00D519F6">
        <w:t>ři určení státu zdanění</w:t>
      </w:r>
      <w:r>
        <w:t xml:space="preserve"> </w:t>
      </w:r>
      <w:r w:rsidRPr="00D519F6">
        <w:t>u služeb poskytovaných přeshraničně konečným spotřebitelům</w:t>
      </w:r>
      <w:r>
        <w:t xml:space="preserve"> se řídit </w:t>
      </w:r>
      <w:r w:rsidRPr="00D519F6">
        <w:t>principy OECD mezinárodních pokynů k</w:t>
      </w:r>
      <w:r>
        <w:t xml:space="preserve"> DPH, a dále </w:t>
      </w:r>
      <w:r w:rsidRPr="00D519F6">
        <w:t>ve vazbě na základní princip zdanění ve státě příjemce zavést zjednodušené procesní postupy pro registraci k DPH a výběr DPH</w:t>
      </w:r>
      <w:r>
        <w:t>.</w:t>
      </w:r>
    </w:p>
    <w:p w:rsidR="008E04B1" w:rsidRPr="00D519F6" w:rsidRDefault="008E04B1" w:rsidP="00A95873">
      <w:pPr>
        <w:pStyle w:val="Odstavecseseznamem"/>
        <w:numPr>
          <w:ilvl w:val="0"/>
          <w:numId w:val="4"/>
        </w:numPr>
        <w:spacing w:line="276" w:lineRule="auto"/>
        <w:contextualSpacing w:val="0"/>
      </w:pPr>
      <w:r>
        <w:t>Z</w:t>
      </w:r>
      <w:r w:rsidRPr="00D519F6">
        <w:t>rušení</w:t>
      </w:r>
      <w:r>
        <w:t>, popř.</w:t>
      </w:r>
      <w:r w:rsidRPr="00D519F6">
        <w:t xml:space="preserve"> snížení limitů pro osvobození při dovozu malých zásilek</w:t>
      </w:r>
      <w:r>
        <w:t>,</w:t>
      </w:r>
      <w:r w:rsidRPr="00D519F6">
        <w:t xml:space="preserve"> </w:t>
      </w:r>
      <w:r>
        <w:t xml:space="preserve">a v důsledku toho </w:t>
      </w:r>
      <w:r w:rsidRPr="00D519F6">
        <w:t xml:space="preserve">zvažování různých modelů výběru </w:t>
      </w:r>
      <w:r>
        <w:t>DPH při dovozu</w:t>
      </w:r>
      <w:r w:rsidRPr="00D519F6">
        <w:t>.</w:t>
      </w:r>
    </w:p>
    <w:p w:rsidR="008E04B1" w:rsidRDefault="008E04B1" w:rsidP="00F9106C">
      <w:pPr>
        <w:rPr>
          <w:lang w:eastAsia="cs-CZ"/>
        </w:rPr>
      </w:pPr>
      <w:r>
        <w:t>D</w:t>
      </w:r>
      <w:r w:rsidRPr="00D519F6">
        <w:t>oporučovan</w:t>
      </w:r>
      <w:r>
        <w:t>á</w:t>
      </w:r>
      <w:r w:rsidRPr="00D519F6">
        <w:t xml:space="preserve"> opatření </w:t>
      </w:r>
      <w:r>
        <w:t xml:space="preserve">částečně </w:t>
      </w:r>
      <w:r w:rsidRPr="00D519F6">
        <w:t>kolidují se současnými harmonizovanými pravidly pro uplatňování DPH v</w:t>
      </w:r>
      <w:r>
        <w:t xml:space="preserve"> EU, jsou však propojena </w:t>
      </w:r>
      <w:r w:rsidRPr="00D519F6">
        <w:t xml:space="preserve">do obdobných aktivit </w:t>
      </w:r>
      <w:r>
        <w:t xml:space="preserve">Evropské komise. V kontextu </w:t>
      </w:r>
      <w:r w:rsidRPr="00D519F6">
        <w:t xml:space="preserve">sdělení </w:t>
      </w:r>
      <w:r>
        <w:t xml:space="preserve">Evropské komise </w:t>
      </w:r>
      <w:r w:rsidRPr="00D519F6">
        <w:t>„Strategie pro jednotný digitální trh v Evropě“</w:t>
      </w:r>
      <w:r>
        <w:t xml:space="preserve"> z května 2015 by základními </w:t>
      </w:r>
      <w:r w:rsidRPr="00D519F6">
        <w:t xml:space="preserve">zvažovanými legislativními </w:t>
      </w:r>
      <w:r>
        <w:t xml:space="preserve">změnami </w:t>
      </w:r>
      <w:r w:rsidRPr="00D519F6">
        <w:t>v</w:t>
      </w:r>
      <w:r>
        <w:t xml:space="preserve"> této oblasti v EU měly být </w:t>
      </w:r>
      <w:r w:rsidRPr="00D519F6">
        <w:t>rozšíř</w:t>
      </w:r>
      <w:r>
        <w:t>ení</w:t>
      </w:r>
      <w:r w:rsidRPr="00D519F6">
        <w:t xml:space="preserve"> </w:t>
      </w:r>
      <w:r w:rsidRPr="00D519F6">
        <w:lastRenderedPageBreak/>
        <w:t>režim</w:t>
      </w:r>
      <w:r>
        <w:t>u</w:t>
      </w:r>
      <w:r w:rsidRPr="00D519F6">
        <w:t xml:space="preserve"> jednotného správního místa také na </w:t>
      </w:r>
      <w:r>
        <w:t xml:space="preserve">dodání </w:t>
      </w:r>
      <w:r w:rsidRPr="00D519F6">
        <w:t>zboží objednaného on-line a zruš</w:t>
      </w:r>
      <w:r>
        <w:t>ení</w:t>
      </w:r>
      <w:r w:rsidRPr="00D519F6">
        <w:t xml:space="preserve"> osvobození od DPH při dovozu zboží nepatrné hodnoty. </w:t>
      </w:r>
      <w:r>
        <w:t>Opatření v oblasti digitální ekonomiky budou zahrnuta do Akčního plánu DPH, který má být předložen v březnu 2016.</w:t>
      </w:r>
    </w:p>
    <w:p w:rsidR="008E04B1" w:rsidRPr="007F0A4A" w:rsidRDefault="008E04B1" w:rsidP="00D519F6">
      <w:pPr>
        <w:pStyle w:val="Nadpis3"/>
      </w:pPr>
      <w:r>
        <w:t>Aplikace v ČR</w:t>
      </w:r>
    </w:p>
    <w:p w:rsidR="008E04B1" w:rsidRPr="00FE3EA4" w:rsidRDefault="008E04B1" w:rsidP="00FE3EA4">
      <w:pPr>
        <w:rPr>
          <w:lang w:eastAsia="cs-CZ"/>
        </w:rPr>
      </w:pPr>
      <w:r>
        <w:rPr>
          <w:lang w:eastAsia="cs-CZ"/>
        </w:rPr>
        <w:t>Je nutno uvést, že e</w:t>
      </w:r>
      <w:r w:rsidRPr="00F308EE">
        <w:rPr>
          <w:lang w:eastAsia="cs-CZ"/>
        </w:rPr>
        <w:t>roze daňových základů a přesouvání zisků jsou v oblasti digitální ekonomiky obzvláště viditelné, protože digitální ekonomika pracuje pouze s nehmotnými produkty, které je snazší přesunout do jiné země než hmotné produkty. Záměrem Akce 1 bylo prozkoumat, zda výjimečnost digitální ekonomiky nevyžaduje přijetí zvláštních pravidel, které by přesouvání zisků zabránila. Ukázalo se však, že digitální ekonomiku nelze definovat a že stále více sektorů využívá digitální postupy</w:t>
      </w:r>
      <w:r>
        <w:rPr>
          <w:lang w:eastAsia="cs-CZ"/>
        </w:rPr>
        <w:t>.</w:t>
      </w:r>
      <w:r w:rsidRPr="00F308EE">
        <w:rPr>
          <w:lang w:eastAsia="cs-CZ"/>
        </w:rPr>
        <w:t xml:space="preserve"> </w:t>
      </w:r>
      <w:r>
        <w:rPr>
          <w:lang w:eastAsia="cs-CZ"/>
        </w:rPr>
        <w:t>Z</w:t>
      </w:r>
      <w:r w:rsidRPr="00F308EE">
        <w:rPr>
          <w:lang w:eastAsia="cs-CZ"/>
        </w:rPr>
        <w:t xml:space="preserve">práva konstatuje, že </w:t>
      </w:r>
      <w:r w:rsidRPr="00A95873">
        <w:rPr>
          <w:b/>
          <w:lang w:eastAsia="cs-CZ"/>
        </w:rPr>
        <w:t>opatření ostatních akcí projektu BEPS by měla řešit problémy i v oblasti digitální ekonomiky</w:t>
      </w:r>
      <w:r w:rsidRPr="00A95873">
        <w:rPr>
          <w:lang w:eastAsia="cs-CZ"/>
        </w:rPr>
        <w:t>.</w:t>
      </w:r>
    </w:p>
    <w:p w:rsidR="008E04B1" w:rsidRPr="007F0A4A" w:rsidRDefault="008E04B1" w:rsidP="00FE3EA4">
      <w:pPr>
        <w:pStyle w:val="Nadpis2"/>
        <w:spacing w:before="120"/>
        <w:ind w:left="1701" w:hanging="850"/>
      </w:pPr>
      <w:bookmarkStart w:id="5" w:name="_Toc448736157"/>
      <w:r w:rsidRPr="007F0A4A">
        <w:lastRenderedPageBreak/>
        <w:t>Akce 2: Neutralizace efektů hybridních schémat</w:t>
      </w:r>
      <w:bookmarkEnd w:id="5"/>
    </w:p>
    <w:p w:rsidR="008E04B1" w:rsidRPr="007F0A4A" w:rsidRDefault="008E04B1" w:rsidP="00A37E6F">
      <w:pPr>
        <w:pStyle w:val="Nadpis3"/>
      </w:pPr>
      <w:r>
        <w:t>Popis problému</w:t>
      </w:r>
    </w:p>
    <w:p w:rsidR="008E04B1" w:rsidRPr="007F0A4A" w:rsidRDefault="008E04B1" w:rsidP="00A37E6F">
      <w:r w:rsidRPr="007F0A4A">
        <w:t>Jednotlivé daňové systémy mají rozdílná pravidla pro posuzování subjektů a instrumentů. Příkladem je posouzení, zda je daný subjekt poplatníkem, či zda je daňově transparentní a poplatníky jsou jeho společníci. Rovněž tak se mohou pravidla lišit v tom, zda daný nástroj je dluhovým nástrojem a související platba je daňově uznatelný úrok, či zda se jedná o vlastní kapitál a související platba je osvobozenou dividendou.</w:t>
      </w:r>
    </w:p>
    <w:p w:rsidR="008E04B1" w:rsidRPr="007F0A4A" w:rsidRDefault="008E04B1" w:rsidP="00A37E6F">
      <w:r w:rsidRPr="007F0A4A">
        <w:t>Tyto nesoulady mezi daňovými systémy využívají hybridní schémata, kdy je subjekt či instrument posouzen v každé zemi jinak. Tím se může dosáhnout dvojího nezdanění.</w:t>
      </w:r>
    </w:p>
    <w:p w:rsidR="008E04B1" w:rsidRPr="007F0A4A" w:rsidRDefault="008E04B1" w:rsidP="00A37E6F">
      <w:pPr>
        <w:pStyle w:val="Nadpis3"/>
      </w:pPr>
      <w:r>
        <w:t>Návrh řešení OECD</w:t>
      </w:r>
    </w:p>
    <w:p w:rsidR="008E04B1" w:rsidRPr="007F0A4A" w:rsidRDefault="008E04B1" w:rsidP="00A37E6F">
      <w:pPr>
        <w:pStyle w:val="Nadpis4"/>
      </w:pPr>
      <w:r w:rsidRPr="007F0A4A">
        <w:t>V oblasti legislativy daně z příjmů právnických osob</w:t>
      </w:r>
    </w:p>
    <w:p w:rsidR="008E04B1" w:rsidRPr="007F0A4A" w:rsidRDefault="008E04B1" w:rsidP="00A37E6F">
      <w:r w:rsidRPr="007F0A4A">
        <w:t>Akce 2 doporučuje zavést pravidla, která by zajistila, že posouzení daného subjektu či instrumentu bude v obou zemích stejné. Doporučená pravidla se dělí na primární a sekundární.</w:t>
      </w:r>
    </w:p>
    <w:p w:rsidR="008E04B1" w:rsidRDefault="008E04B1" w:rsidP="00A37E6F">
      <w:r w:rsidRPr="007F0A4A">
        <w:t xml:space="preserve">Nejprve se mají použít primární pravidla, která u většiny transakcí stanoví, že </w:t>
      </w:r>
      <w:r w:rsidRPr="00DB117B">
        <w:t>subjektu je</w:t>
      </w:r>
      <w:r>
        <w:t xml:space="preserve"> </w:t>
      </w:r>
      <w:r w:rsidRPr="007F0A4A">
        <w:t>ve stát</w:t>
      </w:r>
      <w:r>
        <w:t>ě</w:t>
      </w:r>
      <w:r w:rsidRPr="007F0A4A">
        <w:t xml:space="preserve"> plátce odepřeno právo odpočtu od základu daně</w:t>
      </w:r>
      <w:r>
        <w:t xml:space="preserve">, </w:t>
      </w:r>
      <w:r w:rsidRPr="007F0A4A">
        <w:t>pokud v druhém státě nedojde k zahrnutí do základu daně a ke zdanění.</w:t>
      </w:r>
      <w:r>
        <w:t xml:space="preserve"> </w:t>
      </w:r>
    </w:p>
    <w:p w:rsidR="008E04B1" w:rsidRPr="00715769" w:rsidRDefault="008E04B1" w:rsidP="00A37E6F">
      <w:r w:rsidRPr="007F0A4A">
        <w:t>Sekundární pravidlo použije stát příjemce, pokud stát plátce neaplikuje primární pravidlo. Sekundární pravidlo stanoví, že stát příjemce nepřizná osvobození, pokud platba byla ve stát</w:t>
      </w:r>
      <w:r>
        <w:t>ě</w:t>
      </w:r>
      <w:r w:rsidRPr="007F0A4A">
        <w:t xml:space="preserve"> </w:t>
      </w:r>
      <w:r w:rsidRPr="00715769">
        <w:t>příjemce odečtena od základu daně a nebylo použito primární pravidlo.</w:t>
      </w:r>
    </w:p>
    <w:p w:rsidR="008E04B1" w:rsidRPr="00715769" w:rsidRDefault="008E04B1" w:rsidP="00A37E6F">
      <w:r w:rsidRPr="00715769">
        <w:t>Obdobná pravidla jsou stanovena i pro hybridní entity.</w:t>
      </w:r>
    </w:p>
    <w:p w:rsidR="008E04B1" w:rsidRPr="007F0A4A" w:rsidRDefault="008E04B1" w:rsidP="00A37E6F">
      <w:pPr>
        <w:pStyle w:val="Nadpis4"/>
      </w:pPr>
      <w:r w:rsidRPr="007F0A4A">
        <w:t>V oblasti smluv o zamezení dvojímu zdanění</w:t>
      </w:r>
    </w:p>
    <w:p w:rsidR="008E04B1" w:rsidRPr="007F0A4A" w:rsidRDefault="008E04B1" w:rsidP="00A37E6F">
      <w:r w:rsidRPr="007F0A4A">
        <w:t xml:space="preserve">V kontextu smluv o zamezení dvojímu zdanění se v rámci finálního reportu této akce nejedná o minimální standard, výsledkem jsou jen doporučení do smluv (konkrétně </w:t>
      </w:r>
      <w:r>
        <w:t xml:space="preserve">především </w:t>
      </w:r>
      <w:r w:rsidRPr="007F0A4A">
        <w:t>v kontextu čl. 1 odst. 2 a čl. 4 odst. 3).</w:t>
      </w:r>
    </w:p>
    <w:p w:rsidR="008E04B1" w:rsidRPr="007F0A4A" w:rsidRDefault="008E04B1" w:rsidP="00A37E6F">
      <w:pPr>
        <w:numPr>
          <w:ilvl w:val="0"/>
          <w:numId w:val="15"/>
        </w:numPr>
      </w:pPr>
      <w:r w:rsidRPr="007F0A4A">
        <w:rPr>
          <w:i/>
        </w:rPr>
        <w:t>Čl. 1 odst. 2:</w:t>
      </w:r>
      <w:r w:rsidRPr="007F0A4A">
        <w:t xml:space="preserve"> V rámci nově navrhovaného ustanovení Modelové smlouvy je řešena problematika aplikace smluv vůči tzv. daňově transparentním entitám, </w:t>
      </w:r>
      <w:r>
        <w:t>resp. příjmům jimi či skrze ně</w:t>
      </w:r>
      <w:r w:rsidRPr="007F0A4A">
        <w:t xml:space="preserve"> pobíraných.</w:t>
      </w:r>
    </w:p>
    <w:p w:rsidR="008E04B1" w:rsidRPr="007F0A4A" w:rsidRDefault="008E04B1" w:rsidP="00A37E6F">
      <w:pPr>
        <w:numPr>
          <w:ilvl w:val="0"/>
          <w:numId w:val="15"/>
        </w:numPr>
      </w:pPr>
      <w:r w:rsidRPr="007F0A4A">
        <w:rPr>
          <w:i/>
        </w:rPr>
        <w:t>Čl. 4 odst. 3:</w:t>
      </w:r>
      <w:r>
        <w:t xml:space="preserve"> V současném znění </w:t>
      </w:r>
      <w:r w:rsidRPr="007F0A4A">
        <w:t>Modelové smlouvy je uvedeno, že pokud osoba, jiná než osoba fyzická, je podle ustanovení odstavce 1 rezidentem obou smluvních států, předpokládá se, že je rezidentem pouze toho státu, kde je umístěno místo jejího hlavního vedení.</w:t>
      </w:r>
      <w:r>
        <w:t xml:space="preserve"> </w:t>
      </w:r>
      <w:r w:rsidRPr="007F0A4A">
        <w:t>Nově navrhované znění odstavce třetího je založeno na tom, že příslušné úřady smluvních států se budou snažit vzájemnou dohodou dohodnout, s přihlédnutím k „</w:t>
      </w:r>
      <w:proofErr w:type="gramStart"/>
      <w:r w:rsidRPr="007F0A4A">
        <w:t>place</w:t>
      </w:r>
      <w:proofErr w:type="gramEnd"/>
      <w:r w:rsidRPr="007F0A4A">
        <w:t xml:space="preserve"> </w:t>
      </w:r>
      <w:proofErr w:type="spellStart"/>
      <w:r w:rsidRPr="007F0A4A">
        <w:t>of</w:t>
      </w:r>
      <w:proofErr w:type="spellEnd"/>
      <w:r w:rsidRPr="007F0A4A">
        <w:t xml:space="preserve"> </w:t>
      </w:r>
      <w:proofErr w:type="spellStart"/>
      <w:r w:rsidRPr="007F0A4A">
        <w:t>effective</w:t>
      </w:r>
      <w:proofErr w:type="spellEnd"/>
      <w:r w:rsidRPr="007F0A4A">
        <w:t xml:space="preserve"> management“, místu založení a k dalším relevantním faktorům, ve které jedné smluvní zemi bude daná osoba rezidentem. V případě, že se nedohodnou, daná osoba nemá nárok na výhody ze smlouvy, kromě těch, na kterých </w:t>
      </w:r>
      <w:r>
        <w:t>by se</w:t>
      </w:r>
      <w:r w:rsidRPr="007F0A4A">
        <w:t xml:space="preserve"> případně příslušné úřady dohodly.</w:t>
      </w:r>
    </w:p>
    <w:p w:rsidR="008E04B1" w:rsidRDefault="008E04B1" w:rsidP="00D91472">
      <w:r w:rsidRPr="006A20E3">
        <w:t xml:space="preserve">S problematikou </w:t>
      </w:r>
      <w:r>
        <w:t xml:space="preserve">aplikace smluv vůči daňově transparentním entitám </w:t>
      </w:r>
      <w:r w:rsidRPr="006A20E3">
        <w:t xml:space="preserve">souvisí i následné diskutované návrhy na úpravu ustanovení článku </w:t>
      </w:r>
      <w:r>
        <w:t xml:space="preserve">10 Dividendy, a to konkrétně v </w:t>
      </w:r>
      <w:r w:rsidRPr="006A20E3">
        <w:t>odstavc</w:t>
      </w:r>
      <w:r>
        <w:t>i</w:t>
      </w:r>
      <w:r w:rsidRPr="006A20E3">
        <w:t xml:space="preserve"> 2 písm</w:t>
      </w:r>
      <w:r>
        <w:t>.</w:t>
      </w:r>
      <w:r w:rsidRPr="006A20E3">
        <w:t xml:space="preserve"> a) </w:t>
      </w:r>
      <w:r>
        <w:t xml:space="preserve">Modelové </w:t>
      </w:r>
      <w:r w:rsidRPr="006A20E3">
        <w:t xml:space="preserve">smlouvy, kdy jde o to, zda může být snížená sazba srážkové daně uplatňovaná ve státě zdroje dividend (ve výši 5 % </w:t>
      </w:r>
      <w:r>
        <w:t>hrubé částky dividend</w:t>
      </w:r>
      <w:r w:rsidRPr="006A20E3">
        <w:t>) použita v </w:t>
      </w:r>
      <w:r>
        <w:t>momentu</w:t>
      </w:r>
      <w:r w:rsidRPr="006A20E3">
        <w:t xml:space="preserve">, kdy jsou dividendy </w:t>
      </w:r>
      <w:r w:rsidRPr="006A20E3">
        <w:lastRenderedPageBreak/>
        <w:t xml:space="preserve">vypláceny daňově transparentní entitě a jsou tudíž považovány za příjem rezidenta druhého smluvního státu, tj. tedy za příjem společníka této daňově transparentní entity. </w:t>
      </w:r>
    </w:p>
    <w:p w:rsidR="008E04B1" w:rsidRPr="007F0A4A" w:rsidRDefault="008E04B1" w:rsidP="00A37E6F">
      <w:r w:rsidRPr="006A20E3">
        <w:t>Pro úplnost informace je možné k této akci projektu BEPS ještě zmínit tu skutečnost, že bylo vydáno doporučení</w:t>
      </w:r>
      <w:r>
        <w:t xml:space="preserve"> </w:t>
      </w:r>
      <w:r w:rsidRPr="006A20E3">
        <w:t>spočívající v tom, že státy, které za účelem vyloučení mezinárodního dvojího zdanění příjmů uplatňují metodu vynětí, by měly zvážit úpravu předmětného článku smluv, který tuto problematiku řeší. Cílem by mělo být zajištění toho, aby v praxi nedocházelo v kontextu praktické aplikace této metody k mezinárodnímu dvojímu nezdanění příjmu</w:t>
      </w:r>
      <w:r>
        <w:t>.</w:t>
      </w:r>
      <w:r w:rsidRPr="006A20E3">
        <w:t xml:space="preserve"> </w:t>
      </w:r>
    </w:p>
    <w:p w:rsidR="008E04B1" w:rsidRPr="007F0A4A" w:rsidRDefault="008E04B1" w:rsidP="00A37E6F">
      <w:pPr>
        <w:pStyle w:val="Nadpis3"/>
      </w:pPr>
      <w:bookmarkStart w:id="6" w:name="_Toc443032319"/>
      <w:r>
        <w:t>Aplikace v ČR</w:t>
      </w:r>
    </w:p>
    <w:p w:rsidR="008E04B1" w:rsidRPr="007F0A4A" w:rsidRDefault="008E04B1" w:rsidP="00A37E6F">
      <w:pPr>
        <w:pStyle w:val="Nadpis4"/>
      </w:pPr>
      <w:r w:rsidRPr="007F0A4A">
        <w:t>V oblasti legislativy daně z příjmů právnických osob</w:t>
      </w:r>
    </w:p>
    <w:p w:rsidR="008E04B1" w:rsidRPr="007F0A4A" w:rsidRDefault="008E04B1" w:rsidP="00A37E6F">
      <w:r w:rsidRPr="007F0A4A">
        <w:t>Ustanovení reagující na problematiku hybridních schémat u dividend již je v ČR navrženo na základě směrnice o společném systému zdanění mateřských a dceřiných společností z různých členských států (§ 19 odst. 2 písm. c)).</w:t>
      </w:r>
    </w:p>
    <w:p w:rsidR="008E04B1" w:rsidRPr="007F0A4A" w:rsidRDefault="008E04B1" w:rsidP="00A37E6F">
      <w:r w:rsidRPr="007F0A4A">
        <w:t xml:space="preserve">Navržená pravidla mají pozitivní dopady, protože zamezí celé řadě hybridních schémat, která dnes vedou ke dvojímu nezdanění. Nelze však očekávat významnější přímé fiskální dopady, neboť se lze domnívat, že firmy restrukturalizují své operace, aby se aplikaci </w:t>
      </w:r>
      <w:proofErr w:type="spellStart"/>
      <w:r w:rsidRPr="007F0A4A">
        <w:t>protihybridních</w:t>
      </w:r>
      <w:proofErr w:type="spellEnd"/>
      <w:r w:rsidRPr="007F0A4A">
        <w:t xml:space="preserve"> pravidel vyhnuly.</w:t>
      </w:r>
    </w:p>
    <w:p w:rsidR="001442EC" w:rsidRPr="00AF4F8F" w:rsidRDefault="008E04B1" w:rsidP="00A37E6F">
      <w:r w:rsidRPr="007F0A4A">
        <w:t>Navržená pravidla povedou k určitému zvýšení administrativní zátěže, kdy firmy budou v některých případech muset dokládat daňový režim přeshraničních transakcí v druhém státě, či budou muset dokládat daňový režim v ČR pro účely správy daní v druhém státě.</w:t>
      </w:r>
      <w:r w:rsidR="00AF4F8F">
        <w:t xml:space="preserve"> </w:t>
      </w:r>
      <w:r w:rsidR="00D11866" w:rsidRPr="00AF4F8F">
        <w:t xml:space="preserve">V případě dokládání daňového režimu přeshraničních transakcí v druhém státě může vyvstat </w:t>
      </w:r>
      <w:r w:rsidR="00AF4F8F" w:rsidRPr="00AF4F8F">
        <w:t xml:space="preserve">i </w:t>
      </w:r>
      <w:r w:rsidR="00D11866" w:rsidRPr="00AF4F8F">
        <w:t xml:space="preserve">problém s </w:t>
      </w:r>
      <w:r w:rsidR="00AF4F8F" w:rsidRPr="00AF4F8F">
        <w:t>odlišnými</w:t>
      </w:r>
      <w:r w:rsidR="00D11866" w:rsidRPr="00AF4F8F">
        <w:t xml:space="preserve"> lhůtami pro pravomocné vyměření daně u šetřených transakcí, a proto by bylo vhodné upravit </w:t>
      </w:r>
      <w:r w:rsidR="00AF4F8F" w:rsidRPr="00AF4F8F">
        <w:t>i tuto problematiku.</w:t>
      </w:r>
    </w:p>
    <w:p w:rsidR="008E04B1" w:rsidRPr="007F0A4A" w:rsidRDefault="008E04B1" w:rsidP="00A37E6F">
      <w:pPr>
        <w:pStyle w:val="Nadpis4"/>
      </w:pPr>
      <w:r w:rsidRPr="007F0A4A">
        <w:t>V oblasti smluv o zamezení dvojímu zdanění</w:t>
      </w:r>
    </w:p>
    <w:p w:rsidR="008E04B1" w:rsidRDefault="008E04B1" w:rsidP="00A37E6F">
      <w:r w:rsidRPr="007F0A4A">
        <w:t xml:space="preserve">Ustanovení čl. 1 odst. 2 sleduje </w:t>
      </w:r>
      <w:r>
        <w:t xml:space="preserve">z hlediska přístupu daňově transparentních entit k výhodám ze smluv </w:t>
      </w:r>
      <w:r w:rsidRPr="007F0A4A">
        <w:t>přístup ČR (Pokyn D – 286 a sdělení k</w:t>
      </w:r>
      <w:r>
        <w:t> </w:t>
      </w:r>
      <w:r w:rsidRPr="007F0A4A">
        <w:t>němu)</w:t>
      </w:r>
      <w:r>
        <w:t>, tj., vůči takovýmto entitám se smlouvy neaplikují</w:t>
      </w:r>
      <w:r w:rsidRPr="007F0A4A">
        <w:t xml:space="preserve">. </w:t>
      </w:r>
    </w:p>
    <w:p w:rsidR="008E04B1" w:rsidRPr="006A20E3" w:rsidRDefault="008E04B1" w:rsidP="004D5625">
      <w:r w:rsidRPr="006A20E3">
        <w:t xml:space="preserve">Problematickou se však jednoznačně jeví skutečnost, že toto </w:t>
      </w:r>
      <w:r>
        <w:t xml:space="preserve">smluvní </w:t>
      </w:r>
      <w:r w:rsidRPr="006A20E3">
        <w:t>ustanovení neomezuje svou aplikaci pouze na příjmy pobírané daňově transparentními entitami, resp. jejich prostřednictvím, které byly založeny v jednom či druhém smluvním státě, nýbrž pokrývá i takovéto</w:t>
      </w:r>
      <w:r>
        <w:t xml:space="preserve"> </w:t>
      </w:r>
      <w:r w:rsidRPr="006A20E3">
        <w:t xml:space="preserve">entity založené ve třetích státech. Tento fakt, spolu se skutečností, že se připouští, že jeden smluvní stát může považovat entitu, která je ve druhém smluvním státě (ve státě, kde byla založena) považována za standardního daňového poplatníka, za daňově transparentní, vede k tomu, že ve výsledku je praktická aplikace tohoto ustanovení, především z pohlede státu zdroje příjmu, velmi ztížená, ne-li daňově </w:t>
      </w:r>
      <w:proofErr w:type="spellStart"/>
      <w:r w:rsidRPr="006A20E3">
        <w:t>nespravovatelná</w:t>
      </w:r>
      <w:proofErr w:type="spellEnd"/>
      <w:r w:rsidRPr="006A20E3">
        <w:t xml:space="preserve"> a ve svém důsledku lze v určitých </w:t>
      </w:r>
      <w:proofErr w:type="spellStart"/>
      <w:r w:rsidRPr="006A20E3">
        <w:t>triangulárních</w:t>
      </w:r>
      <w:proofErr w:type="spellEnd"/>
      <w:r w:rsidRPr="006A20E3">
        <w:t xml:space="preserve"> případech dospět k závěru, že jeden příjem má dva skutečné vlastníky, že je třeba uplatňovat dvě mezinárodní daňové smlouvy vůči jednomu a témuž příjmu </w:t>
      </w:r>
      <w:r>
        <w:t xml:space="preserve">najednou </w:t>
      </w:r>
      <w:r w:rsidRPr="006A20E3">
        <w:t>apod.</w:t>
      </w:r>
    </w:p>
    <w:p w:rsidR="008E04B1" w:rsidRDefault="008E04B1" w:rsidP="00A37E6F">
      <w:r w:rsidRPr="007F0A4A">
        <w:t>Navržený čl. 4 odst. 3 v obdobné podobě je již v ČR aplikován v případě některých smluv, např. s </w:t>
      </w:r>
      <w:r>
        <w:t>Kanadou či Mexikem.</w:t>
      </w:r>
    </w:p>
    <w:p w:rsidR="008E04B1" w:rsidRDefault="008E04B1" w:rsidP="004D5625">
      <w:r>
        <w:t>J</w:t>
      </w:r>
      <w:r w:rsidRPr="007F0A4A">
        <w:t xml:space="preserve">e </w:t>
      </w:r>
      <w:r>
        <w:t xml:space="preserve">však </w:t>
      </w:r>
      <w:r w:rsidRPr="007F0A4A">
        <w:t xml:space="preserve">třeba poznamenat, že aplikací čl. 4 odst. 3 se vytvoří rozdíl v přístupu k fyzickým osobám a k osobám právnickým, jelikož u fyzických osob je stanoveno, že se příslušné úřady </w:t>
      </w:r>
      <w:r>
        <w:t>dohodnou na rezidentství, zatím</w:t>
      </w:r>
      <w:r w:rsidRPr="007F0A4A">
        <w:t>co u právnických osob, že se budou snažit dohodnout.</w:t>
      </w:r>
    </w:p>
    <w:p w:rsidR="00D11866" w:rsidRPr="007F0A4A" w:rsidRDefault="00D11866" w:rsidP="004D5625">
      <w:pPr>
        <w:rPr>
          <w:lang w:eastAsia="cs-CZ"/>
        </w:rPr>
      </w:pPr>
    </w:p>
    <w:p w:rsidR="008E04B1" w:rsidRPr="004D5625" w:rsidRDefault="008E04B1" w:rsidP="004D5625">
      <w:pPr>
        <w:pStyle w:val="Nadpis3"/>
        <w:jc w:val="both"/>
        <w:rPr>
          <w:b w:val="0"/>
          <w:sz w:val="24"/>
          <w:szCs w:val="24"/>
        </w:rPr>
      </w:pPr>
      <w:r>
        <w:rPr>
          <w:b w:val="0"/>
          <w:sz w:val="24"/>
          <w:szCs w:val="24"/>
        </w:rPr>
        <w:lastRenderedPageBreak/>
        <w:t xml:space="preserve">Co se týče diskutovaných návrhů na úpravu čl. Dividendy, </w:t>
      </w:r>
      <w:r w:rsidRPr="004D5625">
        <w:rPr>
          <w:b w:val="0"/>
          <w:sz w:val="24"/>
          <w:szCs w:val="24"/>
        </w:rPr>
        <w:t>navrhované úpravy</w:t>
      </w:r>
      <w:r>
        <w:rPr>
          <w:b w:val="0"/>
          <w:sz w:val="24"/>
          <w:szCs w:val="24"/>
        </w:rPr>
        <w:t xml:space="preserve"> </w:t>
      </w:r>
      <w:r w:rsidRPr="004D5625">
        <w:rPr>
          <w:b w:val="0"/>
          <w:sz w:val="24"/>
          <w:szCs w:val="24"/>
        </w:rPr>
        <w:t>odrážejí přístup České republiky, který je zakotven v již zmíněném Sdělení k praktické aplikaci Pokynu č. D – 286</w:t>
      </w:r>
      <w:r>
        <w:rPr>
          <w:b w:val="0"/>
          <w:sz w:val="24"/>
          <w:szCs w:val="24"/>
        </w:rPr>
        <w:t xml:space="preserve"> (jeho článek 2).</w:t>
      </w:r>
    </w:p>
    <w:p w:rsidR="008E04B1" w:rsidRPr="004D5625" w:rsidRDefault="008E04B1" w:rsidP="004D5625">
      <w:pPr>
        <w:pStyle w:val="Nadpis3"/>
        <w:jc w:val="both"/>
        <w:rPr>
          <w:b w:val="0"/>
          <w:sz w:val="24"/>
          <w:szCs w:val="24"/>
        </w:rPr>
      </w:pPr>
      <w:r>
        <w:rPr>
          <w:b w:val="0"/>
          <w:sz w:val="24"/>
          <w:szCs w:val="24"/>
        </w:rPr>
        <w:t xml:space="preserve">Doporučení týkající se problematiky mezinárodního dvojího nezdanění směřují k tomu, že by </w:t>
      </w:r>
      <w:r w:rsidRPr="004D5625">
        <w:rPr>
          <w:b w:val="0"/>
          <w:sz w:val="24"/>
          <w:szCs w:val="24"/>
        </w:rPr>
        <w:t>se</w:t>
      </w:r>
      <w:r>
        <w:rPr>
          <w:b w:val="0"/>
          <w:sz w:val="24"/>
          <w:szCs w:val="24"/>
        </w:rPr>
        <w:t xml:space="preserve"> </w:t>
      </w:r>
      <w:r w:rsidRPr="004D5625">
        <w:rPr>
          <w:b w:val="0"/>
          <w:sz w:val="24"/>
          <w:szCs w:val="24"/>
        </w:rPr>
        <w:t xml:space="preserve">metoda vynětí </w:t>
      </w:r>
      <w:r>
        <w:rPr>
          <w:b w:val="0"/>
          <w:sz w:val="24"/>
          <w:szCs w:val="24"/>
        </w:rPr>
        <w:t xml:space="preserve">měla </w:t>
      </w:r>
      <w:r w:rsidRPr="004D5625">
        <w:rPr>
          <w:b w:val="0"/>
          <w:sz w:val="24"/>
          <w:szCs w:val="24"/>
        </w:rPr>
        <w:t>uplatn</w:t>
      </w:r>
      <w:r>
        <w:rPr>
          <w:b w:val="0"/>
          <w:sz w:val="24"/>
          <w:szCs w:val="24"/>
        </w:rPr>
        <w:t>it</w:t>
      </w:r>
      <w:r w:rsidRPr="004D5625">
        <w:rPr>
          <w:b w:val="0"/>
          <w:sz w:val="24"/>
          <w:szCs w:val="24"/>
        </w:rPr>
        <w:t xml:space="preserve"> jen v tom případě, kdy daný příjem byl skutečně ve státě zdroje zdaněn. Další variantou může být podobné řešení k řešení přijatému na úrovni EU (modifikace tzv. dividendové směrnice, kdy by tedy přijaté příjmy v jednom </w:t>
      </w:r>
      <w:proofErr w:type="gramStart"/>
      <w:r w:rsidRPr="004D5625">
        <w:rPr>
          <w:b w:val="0"/>
          <w:sz w:val="24"/>
          <w:szCs w:val="24"/>
        </w:rPr>
        <w:t>smluvních</w:t>
      </w:r>
      <w:proofErr w:type="gramEnd"/>
      <w:r w:rsidRPr="004D5625">
        <w:rPr>
          <w:b w:val="0"/>
          <w:sz w:val="24"/>
          <w:szCs w:val="24"/>
        </w:rPr>
        <w:t xml:space="preserve"> státě nemohly být v tomto státě vyňaty ze zdanění, pokud byly položkou snižující základ daně (tj. odpočitatelné) ve státě druhém</w:t>
      </w:r>
      <w:r>
        <w:rPr>
          <w:b w:val="0"/>
          <w:sz w:val="24"/>
          <w:szCs w:val="24"/>
        </w:rPr>
        <w:t xml:space="preserve"> (kontext dividend))</w:t>
      </w:r>
      <w:r w:rsidRPr="004D5625">
        <w:rPr>
          <w:b w:val="0"/>
          <w:sz w:val="24"/>
          <w:szCs w:val="24"/>
        </w:rPr>
        <w:t xml:space="preserve">. Třetí navrhované řešení spočívá v celkové změně metody vyloučení mezinárodního dvojího zdanění příjmů, tj. tedy přechod z metody vynětí na metodu prostého zápočtu. </w:t>
      </w:r>
    </w:p>
    <w:p w:rsidR="008E04B1" w:rsidRPr="007F0A4A" w:rsidRDefault="008E04B1" w:rsidP="00A37E6F">
      <w:pPr>
        <w:pStyle w:val="Nadpis3"/>
      </w:pPr>
      <w:r>
        <w:t>Předpoklad realizace</w:t>
      </w:r>
      <w:bookmarkEnd w:id="6"/>
    </w:p>
    <w:p w:rsidR="008E04B1" w:rsidRPr="007F0A4A" w:rsidRDefault="008E04B1" w:rsidP="00A37E6F">
      <w:r w:rsidRPr="007F0A4A">
        <w:t>Viz BEPS</w:t>
      </w:r>
      <w:r>
        <w:t>:</w:t>
      </w:r>
      <w:r w:rsidRPr="00F33DFE">
        <w:t xml:space="preserve"> </w:t>
      </w:r>
      <w:r>
        <w:t xml:space="preserve">Z hlediska mezinárodních smluv bude záviset na výsledcích bilaterálních </w:t>
      </w:r>
      <w:proofErr w:type="gramStart"/>
      <w:r>
        <w:t>jednáních</w:t>
      </w:r>
      <w:proofErr w:type="gramEnd"/>
      <w:r>
        <w:t>, a to i popř. v rámci Akce 15.</w:t>
      </w:r>
      <w:r w:rsidRPr="007F0A4A">
        <w:t xml:space="preserve"> ATAD</w:t>
      </w:r>
      <w:r>
        <w:t>:</w:t>
      </w:r>
      <w:r w:rsidRPr="007F0A4A">
        <w:t xml:space="preserve"> článek 10.</w:t>
      </w:r>
      <w:r>
        <w:t xml:space="preserve"> </w:t>
      </w:r>
    </w:p>
    <w:p w:rsidR="008E04B1" w:rsidRPr="007F0A4A" w:rsidRDefault="008E04B1" w:rsidP="00A37E6F"/>
    <w:p w:rsidR="008E04B1" w:rsidRPr="007F0A4A" w:rsidRDefault="008E04B1" w:rsidP="005A37BD"/>
    <w:p w:rsidR="008E04B1" w:rsidRPr="007F0A4A" w:rsidRDefault="008E04B1" w:rsidP="005A37BD"/>
    <w:p w:rsidR="008E04B1" w:rsidRPr="007F0A4A" w:rsidRDefault="008E04B1" w:rsidP="005A37BD">
      <w:pPr>
        <w:pStyle w:val="Nadpis2"/>
        <w:spacing w:before="120"/>
      </w:pPr>
      <w:bookmarkStart w:id="7" w:name="_Toc448736158"/>
      <w:r w:rsidRPr="007F0A4A">
        <w:lastRenderedPageBreak/>
        <w:t>Akce 3: Zavedení efektivních pravidel</w:t>
      </w:r>
      <w:r>
        <w:t xml:space="preserve"> pro zdaňování ovládaných zahraničních společností (CFC pravidla)</w:t>
      </w:r>
      <w:bookmarkEnd w:id="7"/>
    </w:p>
    <w:p w:rsidR="008E04B1" w:rsidRPr="007F0A4A" w:rsidRDefault="008E04B1" w:rsidP="007E2AA7">
      <w:pPr>
        <w:pStyle w:val="Nadpis3"/>
      </w:pPr>
      <w:r>
        <w:t>Popis problému</w:t>
      </w:r>
    </w:p>
    <w:p w:rsidR="008E04B1" w:rsidRPr="007F0A4A" w:rsidRDefault="008E04B1" w:rsidP="005A37BD">
      <w:pPr>
        <w:rPr>
          <w:lang w:eastAsia="cs-CZ"/>
        </w:rPr>
      </w:pPr>
      <w:r w:rsidRPr="007F0A4A">
        <w:rPr>
          <w:lang w:eastAsia="cs-CZ"/>
        </w:rPr>
        <w:t xml:space="preserve">Společnosti se vyhýbají vnitrostátní dani převáděním zisků na dceřiné společnosti v zemích s nižší úrovní zdanění, zejména v daňových rájích a zemích s preferenčním daňovým režimem. Pokud by pravidla pro stanovení převodních cen, případně ostatní pravidla navržená v rámci projektu BEPS, zcela naplnila svůj účel, nebylo by třeba zavádět </w:t>
      </w:r>
      <w:r>
        <w:rPr>
          <w:lang w:eastAsia="cs-CZ"/>
        </w:rPr>
        <w:t xml:space="preserve">pravidla </w:t>
      </w:r>
      <w:r w:rsidRPr="0058156C">
        <w:rPr>
          <w:lang w:eastAsia="cs-CZ"/>
        </w:rPr>
        <w:t>pro zdaňování ovládaných zahraničních společností</w:t>
      </w:r>
      <w:r>
        <w:rPr>
          <w:lang w:eastAsia="cs-CZ"/>
        </w:rPr>
        <w:t xml:space="preserve"> (</w:t>
      </w:r>
      <w:proofErr w:type="spellStart"/>
      <w:r w:rsidRPr="007F0A4A">
        <w:rPr>
          <w:lang w:eastAsia="cs-CZ"/>
        </w:rPr>
        <w:t>controlled</w:t>
      </w:r>
      <w:proofErr w:type="spellEnd"/>
      <w:r w:rsidRPr="007F0A4A">
        <w:rPr>
          <w:lang w:eastAsia="cs-CZ"/>
        </w:rPr>
        <w:t xml:space="preserve"> </w:t>
      </w:r>
      <w:proofErr w:type="spellStart"/>
      <w:r w:rsidRPr="007F0A4A">
        <w:rPr>
          <w:lang w:eastAsia="cs-CZ"/>
        </w:rPr>
        <w:t>foreign</w:t>
      </w:r>
      <w:proofErr w:type="spellEnd"/>
      <w:r w:rsidRPr="007F0A4A">
        <w:rPr>
          <w:lang w:eastAsia="cs-CZ"/>
        </w:rPr>
        <w:t xml:space="preserve"> </w:t>
      </w:r>
      <w:proofErr w:type="spellStart"/>
      <w:r w:rsidRPr="007F0A4A">
        <w:rPr>
          <w:lang w:eastAsia="cs-CZ"/>
        </w:rPr>
        <w:t>company</w:t>
      </w:r>
      <w:proofErr w:type="spellEnd"/>
      <w:r w:rsidRPr="007F0A4A">
        <w:rPr>
          <w:lang w:eastAsia="cs-CZ"/>
        </w:rPr>
        <w:t>, CFC</w:t>
      </w:r>
      <w:r>
        <w:rPr>
          <w:lang w:eastAsia="cs-CZ"/>
        </w:rPr>
        <w:t>)</w:t>
      </w:r>
      <w:r w:rsidRPr="007F0A4A">
        <w:rPr>
          <w:lang w:eastAsia="cs-CZ"/>
        </w:rPr>
        <w:t>, neboť by ve státech s nízkým zdaněním byl vykazován pouze zisk odpovídající ekonomické aktivitě tam probíhající. To je však v praxi nesplnitelné, zejména u mobilních pasivních zisků plynoucích z nehmotných aktiv.</w:t>
      </w:r>
    </w:p>
    <w:p w:rsidR="008E04B1" w:rsidRPr="007F0A4A" w:rsidRDefault="008E04B1" w:rsidP="005A37BD">
      <w:pPr>
        <w:rPr>
          <w:lang w:eastAsia="cs-CZ"/>
        </w:rPr>
      </w:pPr>
      <w:r w:rsidRPr="007F0A4A">
        <w:rPr>
          <w:lang w:eastAsia="cs-CZ"/>
        </w:rPr>
        <w:t>CFC pravidla tedy slouží jako doplněk ostatních pravidel a jejich úkolem je odradit nadnárodní společnosti od umělého převádění pasivních zisků, u kterých je to nejsnazší, do států s nízkým zdaněním za účelem dosažení nízkého daňového zatížení.</w:t>
      </w:r>
    </w:p>
    <w:p w:rsidR="008E04B1" w:rsidRPr="007F0A4A" w:rsidRDefault="008E04B1" w:rsidP="007E2AA7">
      <w:pPr>
        <w:pStyle w:val="Nadpis3"/>
      </w:pPr>
      <w:r>
        <w:t>Návrh řešení OECD</w:t>
      </w:r>
    </w:p>
    <w:p w:rsidR="008E04B1" w:rsidRPr="007F0A4A" w:rsidRDefault="008E04B1" w:rsidP="008A3C0B">
      <w:pPr>
        <w:rPr>
          <w:lang w:eastAsia="cs-CZ"/>
        </w:rPr>
      </w:pPr>
      <w:r w:rsidRPr="007F0A4A">
        <w:rPr>
          <w:lang w:eastAsia="cs-CZ"/>
        </w:rPr>
        <w:t>Akce 3 doporučuje zavedení efektivních pravidel pro zdanění ovládaných zahraničních společností (</w:t>
      </w:r>
      <w:proofErr w:type="spellStart"/>
      <w:r w:rsidRPr="007F0A4A">
        <w:rPr>
          <w:lang w:eastAsia="cs-CZ"/>
        </w:rPr>
        <w:t>controlled</w:t>
      </w:r>
      <w:proofErr w:type="spellEnd"/>
      <w:r w:rsidRPr="007F0A4A">
        <w:rPr>
          <w:lang w:eastAsia="cs-CZ"/>
        </w:rPr>
        <w:t xml:space="preserve"> </w:t>
      </w:r>
      <w:proofErr w:type="spellStart"/>
      <w:r w:rsidRPr="007F0A4A">
        <w:rPr>
          <w:lang w:eastAsia="cs-CZ"/>
        </w:rPr>
        <w:t>foreign</w:t>
      </w:r>
      <w:proofErr w:type="spellEnd"/>
      <w:r w:rsidRPr="007F0A4A">
        <w:rPr>
          <w:lang w:eastAsia="cs-CZ"/>
        </w:rPr>
        <w:t xml:space="preserve"> </w:t>
      </w:r>
      <w:proofErr w:type="spellStart"/>
      <w:r w:rsidRPr="007F0A4A">
        <w:rPr>
          <w:lang w:eastAsia="cs-CZ"/>
        </w:rPr>
        <w:t>company</w:t>
      </w:r>
      <w:proofErr w:type="spellEnd"/>
      <w:r w:rsidRPr="007F0A4A">
        <w:rPr>
          <w:lang w:eastAsia="cs-CZ"/>
        </w:rPr>
        <w:t>, CFC). CFC pravidla stanoví, že zisky ovládané zahraniční společnosti mohou být připsány její mateřské společnosti sídlící ve státě uplatňujícím CFC pravidla a zdaněny v rámci této společnosti stejným způsobem jako její vlastní zisky.</w:t>
      </w:r>
    </w:p>
    <w:p w:rsidR="008E04B1" w:rsidRPr="007F0A4A" w:rsidRDefault="008E04B1" w:rsidP="008A3C0B">
      <w:pPr>
        <w:rPr>
          <w:lang w:eastAsia="cs-CZ"/>
        </w:rPr>
      </w:pPr>
      <w:r w:rsidRPr="007F0A4A">
        <w:rPr>
          <w:lang w:eastAsia="cs-CZ"/>
        </w:rPr>
        <w:t>Akce 3 popisuje šest základních stavebních kamenů CFC pravidel:</w:t>
      </w:r>
    </w:p>
    <w:p w:rsidR="008E04B1" w:rsidRPr="007F0A4A" w:rsidRDefault="008E04B1" w:rsidP="008A3C0B">
      <w:pPr>
        <w:numPr>
          <w:ilvl w:val="0"/>
          <w:numId w:val="14"/>
        </w:numPr>
        <w:rPr>
          <w:lang w:eastAsia="cs-CZ"/>
        </w:rPr>
      </w:pPr>
      <w:r w:rsidRPr="007F0A4A">
        <w:rPr>
          <w:i/>
          <w:lang w:eastAsia="cs-CZ"/>
        </w:rPr>
        <w:t>Definice ovládané osoby:</w:t>
      </w:r>
      <w:r w:rsidRPr="007F0A4A">
        <w:rPr>
          <w:lang w:eastAsia="cs-CZ"/>
        </w:rPr>
        <w:t xml:space="preserve"> CFC pravidla se aplikují na společnosti ovládané společníky rezidentními v domácí jurisdikci. Limitem pro aplikaci CFC pravidel je zpravidla hranice držení 50 % kapitálu anebo hlasovacích práv na ovládané zahraniční společnosti. Pro ovládané společnosti založené v zahraniční jurisdikci uvedené na tzv. černé listině (</w:t>
      </w:r>
      <w:proofErr w:type="spellStart"/>
      <w:r w:rsidRPr="007F0A4A">
        <w:rPr>
          <w:lang w:eastAsia="cs-CZ"/>
        </w:rPr>
        <w:t>black</w:t>
      </w:r>
      <w:proofErr w:type="spellEnd"/>
      <w:r w:rsidRPr="007F0A4A">
        <w:rPr>
          <w:lang w:eastAsia="cs-CZ"/>
        </w:rPr>
        <w:t xml:space="preserve"> list) mohou být stanoveny nižší hranice. CFC pravidla jsou aplikována na ovládané společnosti vlastněné jak právnickými, tak fyzickými osobami.</w:t>
      </w:r>
    </w:p>
    <w:p w:rsidR="008E04B1" w:rsidRDefault="008E04B1" w:rsidP="008A3C0B">
      <w:pPr>
        <w:numPr>
          <w:ilvl w:val="0"/>
          <w:numId w:val="14"/>
        </w:numPr>
      </w:pPr>
      <w:r w:rsidRPr="007F0A4A">
        <w:rPr>
          <w:i/>
        </w:rPr>
        <w:t>Omezení CFC pravidel:</w:t>
      </w:r>
      <w:r>
        <w:t xml:space="preserve"> CFC pravidla se nemusí aplikovat pokud</w:t>
      </w:r>
    </w:p>
    <w:p w:rsidR="008E04B1" w:rsidRDefault="008E04B1" w:rsidP="008A3C0B">
      <w:pPr>
        <w:numPr>
          <w:ilvl w:val="1"/>
          <w:numId w:val="14"/>
        </w:numPr>
      </w:pPr>
      <w:proofErr w:type="gramStart"/>
      <w:r>
        <w:t>se</w:t>
      </w:r>
      <w:proofErr w:type="gramEnd"/>
      <w:r>
        <w:t xml:space="preserve"> ovládané osoby nachází v jurisdikcích, které nemají daňovou sazbu výrazně nižší, než je sazba domácí jurisdikce,</w:t>
      </w:r>
    </w:p>
    <w:p w:rsidR="008E04B1" w:rsidRDefault="008E04B1" w:rsidP="008A3C0B">
      <w:pPr>
        <w:numPr>
          <w:ilvl w:val="1"/>
          <w:numId w:val="14"/>
        </w:numPr>
      </w:pPr>
      <w:r>
        <w:t>příjmy ovládané osoby nepřekročí určitý práh, cílem je snížit administrativní zátěž u subjektů, kde by dodatečný výnos byl nízký,</w:t>
      </w:r>
    </w:p>
    <w:p w:rsidR="008E04B1" w:rsidRDefault="008E04B1" w:rsidP="008A3C0B">
      <w:pPr>
        <w:numPr>
          <w:ilvl w:val="1"/>
          <w:numId w:val="14"/>
        </w:numPr>
      </w:pPr>
      <w:r>
        <w:t>příjem ovládané osoby nebyl dosažen jako výsledek vyhýbání se daňové povinnosti, takové pravidlo je však administrativně náročné prokazovat</w:t>
      </w:r>
    </w:p>
    <w:p w:rsidR="008E04B1" w:rsidRPr="007F0A4A" w:rsidRDefault="008E04B1" w:rsidP="008A3C0B">
      <w:pPr>
        <w:numPr>
          <w:ilvl w:val="0"/>
          <w:numId w:val="14"/>
        </w:numPr>
      </w:pPr>
      <w:r w:rsidRPr="00AC1D54">
        <w:rPr>
          <w:i/>
        </w:rPr>
        <w:t>Definice příjmů:</w:t>
      </w:r>
      <w:r w:rsidRPr="007F0A4A">
        <w:t xml:space="preserve"> </w:t>
      </w:r>
      <w:r>
        <w:t xml:space="preserve">CFC pravidla </w:t>
      </w:r>
      <w:r w:rsidRPr="007F0A4A">
        <w:t>se aplikují většinou jen na pasivní příjmy (úroky, licenční poplatky a dividendy). Je možno je aplikovat i na jiné příjmy, i na příjmy ze třetích zemí, ale neměla by být aplikována na příjmy z aktivit skutečně probíhajících v dané zahraniční jurisdikci.</w:t>
      </w:r>
    </w:p>
    <w:p w:rsidR="008E04B1" w:rsidRDefault="008E04B1" w:rsidP="008A3C0B">
      <w:pPr>
        <w:numPr>
          <w:ilvl w:val="0"/>
          <w:numId w:val="14"/>
        </w:numPr>
      </w:pPr>
      <w:r w:rsidRPr="00AC1D54">
        <w:rPr>
          <w:i/>
        </w:rPr>
        <w:t>Výpočet výše příjmu:</w:t>
      </w:r>
      <w:r>
        <w:t xml:space="preserve"> Akce 3 doporučuje použít pravidla domácí jurisdikce na výpočet výše příjmů, což snižuje náročnost jejich aplikace pro domácí daňovou správu. Výše ztrát ovládané osoby by měla být odečitatelné pouze od příjmů dosažených v zahraniční jurisdikci.</w:t>
      </w:r>
    </w:p>
    <w:p w:rsidR="008E04B1" w:rsidRDefault="008E04B1" w:rsidP="008A3C0B">
      <w:pPr>
        <w:numPr>
          <w:ilvl w:val="0"/>
          <w:numId w:val="14"/>
        </w:numPr>
      </w:pPr>
      <w:r>
        <w:rPr>
          <w:i/>
        </w:rPr>
        <w:lastRenderedPageBreak/>
        <w:t>Přiřazení příjmů:</w:t>
      </w:r>
      <w:r>
        <w:t xml:space="preserve"> Příjmy by měly být přiřazeny domácím společníkům podle výše jejich podílů v zahraničních ovládaných osobách.</w:t>
      </w:r>
    </w:p>
    <w:p w:rsidR="008E04B1" w:rsidRPr="007F0A4A" w:rsidRDefault="008E04B1" w:rsidP="008A3C0B">
      <w:pPr>
        <w:numPr>
          <w:ilvl w:val="0"/>
          <w:numId w:val="14"/>
        </w:numPr>
      </w:pPr>
      <w:r>
        <w:rPr>
          <w:i/>
        </w:rPr>
        <w:t>Zabránění dvojímu zdanění:</w:t>
      </w:r>
      <w:r>
        <w:t xml:space="preserve"> Daň zaplacená v zahraniční jurisdikci nebo v jiných jurisdikcích, které uplatňují CFC pravidla, by měla být započtena na domácí daň.</w:t>
      </w:r>
    </w:p>
    <w:p w:rsidR="008E04B1" w:rsidRPr="007F0A4A" w:rsidRDefault="008E04B1" w:rsidP="007E2AA7">
      <w:pPr>
        <w:pStyle w:val="Nadpis3"/>
      </w:pPr>
      <w:r>
        <w:t>Aplikace v ČR</w:t>
      </w:r>
    </w:p>
    <w:p w:rsidR="008E04B1" w:rsidRPr="007F0A4A" w:rsidRDefault="008E04B1" w:rsidP="008A3C0B">
      <w:r w:rsidRPr="007F0A4A">
        <w:t>Potenciální výhody zavedení:</w:t>
      </w:r>
    </w:p>
    <w:p w:rsidR="008E04B1" w:rsidRDefault="008E04B1" w:rsidP="00F16E70">
      <w:pPr>
        <w:pStyle w:val="Odstavecseseznamem"/>
        <w:numPr>
          <w:ilvl w:val="0"/>
          <w:numId w:val="4"/>
        </w:numPr>
        <w:spacing w:line="276" w:lineRule="auto"/>
        <w:contextualSpacing w:val="0"/>
      </w:pPr>
      <w:r>
        <w:t xml:space="preserve">Získání dodatečného výnosu od dceřiných společností umístěných ve státech s nízkým zdaněním vlastněných českými mateřskými společnostmi či snížení objemu zisků přesouvaných do těchto států </w:t>
      </w:r>
    </w:p>
    <w:p w:rsidR="008E04B1" w:rsidRDefault="008E04B1" w:rsidP="00F16E70">
      <w:pPr>
        <w:pStyle w:val="Odstavecseseznamem"/>
        <w:numPr>
          <w:ilvl w:val="0"/>
          <w:numId w:val="4"/>
        </w:numPr>
        <w:spacing w:line="276" w:lineRule="auto"/>
        <w:contextualSpacing w:val="0"/>
      </w:pPr>
      <w:r>
        <w:t>Z</w:t>
      </w:r>
      <w:r w:rsidRPr="007F0A4A">
        <w:t xml:space="preserve"> hlediska smluv </w:t>
      </w:r>
      <w:r>
        <w:t>o zamezení dvojímu zdanění n</w:t>
      </w:r>
      <w:r w:rsidRPr="007F0A4A">
        <w:t xml:space="preserve">ení třeba </w:t>
      </w:r>
      <w:r>
        <w:t>nic upravovat, CFC pravidla nejsou</w:t>
      </w:r>
      <w:r w:rsidRPr="007F0A4A">
        <w:t xml:space="preserve"> v rozporu např. s článkem 7 odst. 1 </w:t>
      </w:r>
      <w:r>
        <w:t>smluv</w:t>
      </w:r>
      <w:r w:rsidRPr="007F0A4A">
        <w:t>, jelikož dle tuzemské legislativy se bude řešit zdanění tuzemského subjektu, nikoliv zahraničního</w:t>
      </w:r>
      <w:r>
        <w:t>.</w:t>
      </w:r>
    </w:p>
    <w:p w:rsidR="008E04B1" w:rsidRPr="007F0A4A" w:rsidRDefault="008E04B1" w:rsidP="00F16E70">
      <w:pPr>
        <w:pStyle w:val="Odstavecseseznamem"/>
        <w:numPr>
          <w:ilvl w:val="0"/>
          <w:numId w:val="4"/>
        </w:numPr>
        <w:spacing w:line="276" w:lineRule="auto"/>
        <w:contextualSpacing w:val="0"/>
      </w:pPr>
      <w:r>
        <w:t>Nemá negativní dopad na zahraniční investice plynoucí do ČR, protože na dceřiné firmy, které již nemají podíl v dalších dcerách, se CFC pravidla nevztahují.</w:t>
      </w:r>
    </w:p>
    <w:p w:rsidR="008E04B1" w:rsidRPr="007F0A4A" w:rsidRDefault="008E04B1" w:rsidP="008A3C0B">
      <w:pPr>
        <w:keepNext/>
      </w:pPr>
      <w:r w:rsidRPr="007F0A4A">
        <w:t>Potenciální nevýhody zavedení:</w:t>
      </w:r>
    </w:p>
    <w:p w:rsidR="008E04B1" w:rsidRPr="007F0A4A" w:rsidRDefault="008E04B1" w:rsidP="00F16E70">
      <w:pPr>
        <w:pStyle w:val="Odstavecseseznamem"/>
        <w:numPr>
          <w:ilvl w:val="0"/>
          <w:numId w:val="4"/>
        </w:numPr>
        <w:spacing w:line="276" w:lineRule="auto"/>
        <w:contextualSpacing w:val="0"/>
      </w:pPr>
      <w:r>
        <w:t>M</w:t>
      </w:r>
      <w:r w:rsidRPr="007F0A4A">
        <w:t xml:space="preserve">ožné oslabení konkurenceschopnosti </w:t>
      </w:r>
      <w:r>
        <w:t xml:space="preserve">ČR, kdy </w:t>
      </w:r>
      <w:r w:rsidRPr="007F0A4A">
        <w:t xml:space="preserve">mateřské společnosti se sídlem v ČR by </w:t>
      </w:r>
      <w:r>
        <w:t xml:space="preserve">byly motivovány přesunovat se </w:t>
      </w:r>
      <w:r w:rsidRPr="007F0A4A">
        <w:t xml:space="preserve">do států, které </w:t>
      </w:r>
      <w:r>
        <w:t xml:space="preserve">CFC </w:t>
      </w:r>
      <w:r w:rsidRPr="007F0A4A">
        <w:t xml:space="preserve">pravidla nemají zavedena. </w:t>
      </w:r>
      <w:r>
        <w:t>Toto riziko se sníží, pokud by CFC pravidla byla zavedena v dalších státech, které je dnes neuplatňují, současně s ČR.</w:t>
      </w:r>
    </w:p>
    <w:p w:rsidR="008E04B1" w:rsidRDefault="008E04B1" w:rsidP="00F16E70">
      <w:pPr>
        <w:pStyle w:val="Odstavecseseznamem"/>
        <w:numPr>
          <w:ilvl w:val="0"/>
          <w:numId w:val="4"/>
        </w:numPr>
        <w:spacing w:line="276" w:lineRule="auto"/>
        <w:contextualSpacing w:val="0"/>
      </w:pPr>
      <w:r>
        <w:t>Zvýší se administrativní náklady na straně daňové správy i poplatníků.</w:t>
      </w:r>
    </w:p>
    <w:p w:rsidR="008E04B1" w:rsidRDefault="008E04B1" w:rsidP="00A25BB2">
      <w:r w:rsidRPr="00A25BB2">
        <w:t>Dle některých empirických studií</w:t>
      </w:r>
      <w:r>
        <w:rPr>
          <w:rStyle w:val="Znakapoznpodarou"/>
          <w:rFonts w:ascii="Arial" w:eastAsia="CMR12" w:hAnsi="Arial"/>
        </w:rPr>
        <w:footnoteReference w:id="6"/>
      </w:r>
      <w:r w:rsidRPr="00A25BB2">
        <w:t xml:space="preserve">, které se zabývaly dopadem CFC pravidel na investiční kapitál německých nadnárodních společností, </w:t>
      </w:r>
      <w:r>
        <w:t xml:space="preserve">se </w:t>
      </w:r>
      <w:r w:rsidRPr="00A25BB2">
        <w:t>ukázal</w:t>
      </w:r>
      <w:r>
        <w:t>o</w:t>
      </w:r>
      <w:r w:rsidRPr="00A25BB2">
        <w:t>, že CFC pravidla zvyšují kapitálové náklady a snižují zahraniční investice domácích nadnárodních společností</w:t>
      </w:r>
      <w:r>
        <w:t>. Tím dochází ke snížení jejich pasivních příjmů, ale byl prokázán dopad i na aktivní příjmy, což nebylo zamýšleným důsledkem zavedení CFC pravidel.</w:t>
      </w:r>
      <w:r w:rsidRPr="00A25BB2">
        <w:t xml:space="preserve"> Výzkumy rovněž dokazují, že německá CFC pravidla jsou velmi účinná v zamezení pasivních investic a mají silný dopad na rozhodnutí tuzemských bank a profit center soustředit se do zemí s nízkým zdaněním.</w:t>
      </w:r>
    </w:p>
    <w:p w:rsidR="004144CE" w:rsidRPr="00A25BB2" w:rsidRDefault="004144CE" w:rsidP="00A25BB2">
      <w:r>
        <w:t>Z údajů z příloh k daňovým přiznáním k DPPO za rok 2014 týkajících se transakcí se zahraničními spojenými osobami (bez ohledu na to, zda se jedná o dceřinou firmu nebo ne) lze vyčíst, že objem přímých transakcí mezi českými společnostmi a spojenými společnostmi v daňových rájích je velmi nízký. Údaje o výši zisku dosahovaného dceřinými společnostmi tuzemských mateřských společností však v současné době nejsou dostupné.</w:t>
      </w:r>
    </w:p>
    <w:p w:rsidR="008E04B1" w:rsidRPr="007F0A4A" w:rsidRDefault="008E04B1" w:rsidP="007E2AA7">
      <w:pPr>
        <w:pStyle w:val="Nadpis3"/>
      </w:pPr>
      <w:r>
        <w:t>Předpoklad realizace</w:t>
      </w:r>
    </w:p>
    <w:p w:rsidR="008E04B1" w:rsidRPr="007F0A4A" w:rsidRDefault="008E04B1" w:rsidP="00AA3838">
      <w:r w:rsidRPr="007F0A4A">
        <w:t>Viz ATAD</w:t>
      </w:r>
      <w:r>
        <w:t>:</w:t>
      </w:r>
      <w:r w:rsidRPr="007F0A4A">
        <w:t xml:space="preserve"> článek 8.</w:t>
      </w:r>
    </w:p>
    <w:p w:rsidR="008E04B1" w:rsidRPr="007F0A4A" w:rsidRDefault="008E04B1" w:rsidP="005A37BD">
      <w:pPr>
        <w:pStyle w:val="Nadpis2"/>
        <w:spacing w:before="120"/>
      </w:pPr>
      <w:bookmarkStart w:id="8" w:name="_Toc448736159"/>
      <w:r w:rsidRPr="007F0A4A">
        <w:lastRenderedPageBreak/>
        <w:t>Akce 4: Omezení odečitatelnosti úroků</w:t>
      </w:r>
      <w:bookmarkEnd w:id="8"/>
    </w:p>
    <w:p w:rsidR="008E04B1" w:rsidRPr="007F0A4A" w:rsidRDefault="008E04B1" w:rsidP="007E2AA7">
      <w:pPr>
        <w:pStyle w:val="Nadpis3"/>
      </w:pPr>
      <w:bookmarkStart w:id="9" w:name="_Toc443032325"/>
      <w:r w:rsidRPr="007F0A4A">
        <w:t>Popis problému</w:t>
      </w:r>
      <w:bookmarkEnd w:id="9"/>
    </w:p>
    <w:p w:rsidR="008E04B1" w:rsidRDefault="008E04B1" w:rsidP="005A37BD">
      <w:r>
        <w:t xml:space="preserve">Rozdílný daňový režim financování prostřednictvím vlastního kapitálu a prostřednictvím dluhu vede k tomu, že společnosti využívají dluhové financování a úrokové platby </w:t>
      </w:r>
      <w:proofErr w:type="gramStart"/>
      <w:r>
        <w:t>ke</w:t>
      </w:r>
      <w:proofErr w:type="gramEnd"/>
      <w:r>
        <w:t> přesouvání zisků do jiných zemí. Úroky jsou, na rozdíl od dividend, odečitatelné od základu daně plátce a pro příjemce představují zdanitelný příjem. Pokud společnost rezidentní v zemi s nízkými daňovými sazbami poskytne úvěr společnosti rezidentní v zemi s vysokými daňovými sazbami, dojde ke snížení daňové skupiny jako celku.</w:t>
      </w:r>
    </w:p>
    <w:p w:rsidR="008E04B1" w:rsidRDefault="008E04B1" w:rsidP="005A37BD">
      <w:r w:rsidRPr="0095733F">
        <w:t>Princip tržního odstupu používaný pro nastavení převodních cen lze použít na cenu dluhového financování, tj. na úroky, ale nelze</w:t>
      </w:r>
      <w:r>
        <w:t xml:space="preserve"> ho snadno aplikovat na výši úvěrů. Proto toto pravidlo je doplňováno dalšími pravidly jako např. v ČR aplikované pravidlo pro případy nízké kapitalizace.</w:t>
      </w:r>
    </w:p>
    <w:p w:rsidR="008E04B1" w:rsidRDefault="008E04B1" w:rsidP="005A37BD">
      <w:r>
        <w:t>Další možností, kterou nadnárodní skupiny mají, je úvěrové financování mateřské společnosti, která kapitál poskytne formou vkladu dceřiným firmám. Ty pak mateřské firmě odvádí osvobozené dividendy, zatímco mateřská firma platí daňově uznatelné úroky. Tím dochází k přesunu zisku do dceřiných firem. Tomu se zabraňuje pravidlem, že náklady na pořízení vkladu v dceřiné společnosti nejsou daňově uznatelné.</w:t>
      </w:r>
    </w:p>
    <w:p w:rsidR="008E04B1" w:rsidRPr="007F0A4A" w:rsidRDefault="008E04B1" w:rsidP="007E2AA7">
      <w:pPr>
        <w:pStyle w:val="Nadpis3"/>
      </w:pPr>
      <w:r>
        <w:t>Návrh řešení OECD</w:t>
      </w:r>
    </w:p>
    <w:p w:rsidR="008E04B1" w:rsidRDefault="008E04B1" w:rsidP="005A37BD">
      <w:r>
        <w:t>Na základě analýzy nejlepší praxe jednotlivých členských států Akce 4 doporučuje zavést pravidlo omezující nikoliv výši dluhu, ale přímo výši uznatelných úroků. Konkrétně jde o o</w:t>
      </w:r>
      <w:r w:rsidRPr="007F0A4A">
        <w:t xml:space="preserve">mezení daňové odečitatelnosti </w:t>
      </w:r>
      <w:r>
        <w:t xml:space="preserve">čistých </w:t>
      </w:r>
      <w:r w:rsidRPr="007F0A4A">
        <w:t xml:space="preserve">úroků </w:t>
      </w:r>
      <w:r>
        <w:t xml:space="preserve">do maximální výše stanovené mezi 10% a 30 % </w:t>
      </w:r>
      <w:r w:rsidRPr="007F0A4A">
        <w:t>hrubé</w:t>
      </w:r>
      <w:r>
        <w:t>ho provozního</w:t>
      </w:r>
      <w:r w:rsidRPr="007F0A4A">
        <w:t xml:space="preserve"> zisku (EBITDA</w:t>
      </w:r>
      <w:r>
        <w:t>). Čistým</w:t>
      </w:r>
      <w:r w:rsidRPr="007F0A4A">
        <w:t xml:space="preserve"> úrokem se rozumí rozdíl mezi úroky zaplacenými (nákladovými) a úroky přijatými (např. výnos z vkladů).</w:t>
      </w:r>
      <w:r>
        <w:t xml:space="preserve"> Pevně stanovené procento je možno nahradit poměrem čistých úroků k EBITDA, které vykazuje daná skupina jako celek na globální konsolidované úrovni.</w:t>
      </w:r>
    </w:p>
    <w:p w:rsidR="008E04B1" w:rsidRDefault="008E04B1" w:rsidP="005A37BD">
      <w:r>
        <w:t>Z výše uvedeného pravidla se navrhují některé výjimky:</w:t>
      </w:r>
    </w:p>
    <w:p w:rsidR="008E04B1" w:rsidRDefault="008E04B1" w:rsidP="005A37BD">
      <w:pPr>
        <w:numPr>
          <w:ilvl w:val="0"/>
          <w:numId w:val="37"/>
        </w:numPr>
      </w:pPr>
      <w:r>
        <w:t xml:space="preserve">Uvedené pravidlo se navrhuje aplikovat pouze na čisté úroky nad 1 mil. EUR, tzn. čisté úroky nižší než 1 mil. EUR by byly vždy daňově uznatelné (pravidlo de </w:t>
      </w:r>
      <w:proofErr w:type="spellStart"/>
      <w:r>
        <w:t>minimis</w:t>
      </w:r>
      <w:proofErr w:type="spellEnd"/>
      <w:r>
        <w:t>). Pokud má skupina v dané zemi více entit, měl by se limit 1 mil. EUR vztahovat na součet čistých úroků placených všemi entitami v dané zemi.</w:t>
      </w:r>
    </w:p>
    <w:p w:rsidR="008E04B1" w:rsidRDefault="008E04B1" w:rsidP="004C6EFB">
      <w:pPr>
        <w:numPr>
          <w:ilvl w:val="0"/>
          <w:numId w:val="37"/>
        </w:numPr>
      </w:pPr>
      <w:r>
        <w:t>Uvedené pravidlo se doporučuje uplatnit</w:t>
      </w:r>
      <w:r w:rsidR="004C6EFB" w:rsidRPr="004C6EFB">
        <w:t xml:space="preserve"> </w:t>
      </w:r>
      <w:r w:rsidR="00CE3388">
        <w:t>minimálně</w:t>
      </w:r>
      <w:r w:rsidR="004C6EFB" w:rsidRPr="004C6EFB">
        <w:t xml:space="preserve"> u společností, které jsou členy kapitálově propojené </w:t>
      </w:r>
      <w:r w:rsidR="00682377">
        <w:t xml:space="preserve">nadnárodní </w:t>
      </w:r>
      <w:r w:rsidR="004C6EFB" w:rsidRPr="004C6EFB">
        <w:t>skupiny</w:t>
      </w:r>
      <w:r w:rsidR="00682377">
        <w:t>, ale uvádí i možnost uplatnit ho na domácí skupiny a samostatné společnosti, které nejsou členy žádné skupiny</w:t>
      </w:r>
      <w:r>
        <w:t>. Výjimkou by mohly být např. úroky použité na financování veřejně prospěšných aktivit.</w:t>
      </w:r>
    </w:p>
    <w:p w:rsidR="008E04B1" w:rsidRPr="007F0A4A" w:rsidRDefault="008E04B1" w:rsidP="005A37BD">
      <w:pPr>
        <w:numPr>
          <w:ilvl w:val="0"/>
          <w:numId w:val="37"/>
        </w:numPr>
      </w:pPr>
      <w:r>
        <w:t>Poplatník může odečíst veškeré úrokové náklady od základu daně, pokud jeho poměr vlastního kapitálu a aktiv je srovnatelný s poměrem vlastního kapitálu a aktiv celé nadnárodní skupiny.</w:t>
      </w:r>
    </w:p>
    <w:p w:rsidR="008E04B1" w:rsidRPr="007F0A4A" w:rsidRDefault="008E04B1" w:rsidP="005A37BD">
      <w:r>
        <w:t>Doporučuje se umožnit, aby ú</w:t>
      </w:r>
      <w:r w:rsidRPr="007F0A4A">
        <w:t xml:space="preserve">roky, které </w:t>
      </w:r>
      <w:r>
        <w:t xml:space="preserve">nemohly být </w:t>
      </w:r>
      <w:r w:rsidRPr="007F0A4A">
        <w:t>odečt</w:t>
      </w:r>
      <w:r>
        <w:t>eny</w:t>
      </w:r>
      <w:r w:rsidRPr="007F0A4A">
        <w:t xml:space="preserve"> v daném zdaňovacím období, </w:t>
      </w:r>
      <w:r>
        <w:t xml:space="preserve">mohly být odečteny </w:t>
      </w:r>
      <w:r w:rsidRPr="007F0A4A">
        <w:t>v následujících zdaňovacích obdobích spolu s aktuálními úroky daného zdaňovacího období</w:t>
      </w:r>
      <w:r>
        <w:t>, v každém roce</w:t>
      </w:r>
      <w:r w:rsidRPr="007F0A4A">
        <w:t xml:space="preserve"> do souhrnné výše </w:t>
      </w:r>
      <w:r>
        <w:t>limitu daného roku</w:t>
      </w:r>
      <w:r w:rsidRPr="007F0A4A">
        <w:t>.</w:t>
      </w:r>
      <w:r>
        <w:t xml:space="preserve"> Rovněž se doporučuje, aby nevyužitý limit v případě, že čisté úroky budou nižší než limit, bylo možno převádět do dalších let. Je možno zavést obě možnosti přesunu limitů do dalších let nebo jen jednu z nich.</w:t>
      </w:r>
    </w:p>
    <w:p w:rsidR="008E04B1" w:rsidRPr="007F0A4A" w:rsidRDefault="008E04B1" w:rsidP="005A37BD">
      <w:r>
        <w:lastRenderedPageBreak/>
        <w:t>Doporučení omezení odečitatelnosti úroků bylo vypracováno pro nefinanční sektor. Finanční sektor (</w:t>
      </w:r>
      <w:r w:rsidRPr="007F0A4A">
        <w:t>banky a pojišťovny</w:t>
      </w:r>
      <w:r>
        <w:t>) mají odlišné postavení, které vyžaduje odlišná pravidla</w:t>
      </w:r>
      <w:r w:rsidRPr="007F0A4A">
        <w:t xml:space="preserve">, </w:t>
      </w:r>
      <w:r>
        <w:t>která však doposud nebyla vypracována</w:t>
      </w:r>
      <w:r w:rsidRPr="007F0A4A">
        <w:t>.</w:t>
      </w:r>
    </w:p>
    <w:p w:rsidR="008E04B1" w:rsidRPr="007F0A4A" w:rsidRDefault="008E04B1" w:rsidP="007E2AA7">
      <w:pPr>
        <w:pStyle w:val="Nadpis3"/>
      </w:pPr>
      <w:r>
        <w:t>Aplikace v ČR</w:t>
      </w:r>
    </w:p>
    <w:p w:rsidR="008E04B1" w:rsidRPr="007F0A4A" w:rsidRDefault="008E04B1" w:rsidP="005A37BD">
      <w:r w:rsidRPr="007F0A4A">
        <w:t xml:space="preserve">ČR </w:t>
      </w:r>
      <w:r>
        <w:t>v současné době uplatňuje pravidla proti nízké kapitalizaci, kdy je o</w:t>
      </w:r>
      <w:r w:rsidRPr="007F0A4A">
        <w:t>dečitatelnost úroků omezena pouze na úroky placené mezi spojenými osobami</w:t>
      </w:r>
      <w:r>
        <w:t xml:space="preserve">. Výše úroku, který je možné odečíst od základu daně </w:t>
      </w:r>
      <w:r w:rsidRPr="007F0A4A">
        <w:t>je limitován čtyřnásobkem výše vlastního kapitálu, v případě bank a pojišťoven šestinásobkem vlastního kapitálu.</w:t>
      </w:r>
      <w:r>
        <w:t xml:space="preserve"> </w:t>
      </w:r>
      <w:r w:rsidRPr="007F0A4A">
        <w:t>Podobný systém mají i jiné státy EU, které však č</w:t>
      </w:r>
      <w:r>
        <w:t>asto používají přísnější limit –</w:t>
      </w:r>
      <w:r w:rsidRPr="007F0A4A">
        <w:t xml:space="preserve"> běžně se používá dvojnásobek i 1,5 násobek vlastního kapitálu.</w:t>
      </w:r>
    </w:p>
    <w:p w:rsidR="008E04B1" w:rsidRDefault="008E04B1" w:rsidP="005A37BD">
      <w:r>
        <w:t>Dle údajů o českých firmách dostupných v databázi ORBIS se 20 % firem s nejvyšším poměrem dluhu k vlastnímu kapitálu pohybuje nad hodnotou 0,6 : 1 a 10 % firem se pohybuje nad hodnotou 1,7 : 1, což znamená, že hodnot 4 : 1 dosahuje jen velmi málo poplatníků. Naproti tomu v případě poměru úroku ku EBITDA se 40 % firem pohybuje nad hodnotou 10 % a cca 12 % firem se pohybuje nad hodnotou 30 %. Přechod na poměr úroku ku EBITDA by tedy měl dopad na více firem než stávající pravidla proti nízké kapitalizaci.</w:t>
      </w:r>
    </w:p>
    <w:p w:rsidR="008E04B1" w:rsidRDefault="008E04B1" w:rsidP="005A37BD">
      <w:r>
        <w:t>Od zavedení pravidla navrženého v OECD by tak bylo možno očekávat dodatečný fiskální výnos, ať už formou většího objemu neodečitatelných úroků, nebo změnou chování firem a snížení dluhového financování, které vyústí ve snížení objemu úroků.</w:t>
      </w:r>
    </w:p>
    <w:p w:rsidR="005F0960" w:rsidRDefault="007A1CB4" w:rsidP="005A37BD">
      <w:r>
        <w:t xml:space="preserve">Nutno také podotknout, </w:t>
      </w:r>
      <w:r w:rsidR="005F0960">
        <w:t xml:space="preserve">že </w:t>
      </w:r>
      <w:r>
        <w:t xml:space="preserve">maximální </w:t>
      </w:r>
      <w:r w:rsidR="005F0960">
        <w:t>limit doporučovaný OECD</w:t>
      </w:r>
      <w:r w:rsidR="00802590">
        <w:t>,</w:t>
      </w:r>
      <w:r w:rsidR="005F0960">
        <w:t xml:space="preserve"> </w:t>
      </w:r>
      <w:r w:rsidR="00802590">
        <w:t xml:space="preserve">tj. </w:t>
      </w:r>
      <w:r>
        <w:t xml:space="preserve">10 % a 30 % </w:t>
      </w:r>
      <w:r w:rsidRPr="007F0A4A">
        <w:t>hrubé</w:t>
      </w:r>
      <w:r>
        <w:t>ho provozního</w:t>
      </w:r>
      <w:r w:rsidRPr="007F0A4A">
        <w:t xml:space="preserve"> zisku (EBITDA</w:t>
      </w:r>
      <w:r>
        <w:t>)</w:t>
      </w:r>
      <w:r w:rsidR="00802590">
        <w:t>,</w:t>
      </w:r>
      <w:r>
        <w:t xml:space="preserve"> by bylo případně nutné přizpůsobit podmínkám České republiky.</w:t>
      </w:r>
    </w:p>
    <w:p w:rsidR="008E04B1" w:rsidRDefault="008E04B1" w:rsidP="005A37BD">
      <w:r>
        <w:t>Mezi pozitivní dopady lze uvést:</w:t>
      </w:r>
    </w:p>
    <w:p w:rsidR="008E04B1" w:rsidRDefault="008E04B1" w:rsidP="00502E10">
      <w:pPr>
        <w:numPr>
          <w:ilvl w:val="0"/>
          <w:numId w:val="19"/>
        </w:numPr>
      </w:pPr>
      <w:r>
        <w:t>Dojde snížení objemu zisků přesouvaných mimo ČR.</w:t>
      </w:r>
    </w:p>
    <w:p w:rsidR="008E04B1" w:rsidRDefault="008E04B1" w:rsidP="00502E10">
      <w:pPr>
        <w:numPr>
          <w:ilvl w:val="0"/>
          <w:numId w:val="19"/>
        </w:numPr>
      </w:pPr>
      <w:r>
        <w:t>Zamezí únikům u některých struktur.</w:t>
      </w:r>
    </w:p>
    <w:p w:rsidR="008E04B1" w:rsidRDefault="008E04B1" w:rsidP="00502E10">
      <w:pPr>
        <w:numPr>
          <w:ilvl w:val="0"/>
          <w:numId w:val="19"/>
        </w:numPr>
      </w:pPr>
      <w:r>
        <w:t>Dojde ke snížení atraktivity daňového režimu dluhového financování, i když to přímo nesouvisí s přesouváním zisků.</w:t>
      </w:r>
    </w:p>
    <w:p w:rsidR="008E04B1" w:rsidRDefault="008E04B1" w:rsidP="00502E10">
      <w:pPr>
        <w:numPr>
          <w:ilvl w:val="0"/>
          <w:numId w:val="19"/>
        </w:numPr>
      </w:pPr>
      <w:r>
        <w:t>Na rozdíl od stávající úpravy nebude možno pravidla omezující daňovou odečitatelnost úroků obejít navýšením jak dluhu, tak vlastního kapitálu tak, aby jejich poměr byl v limitu daném zákonem (dle dostupných dat se však dá soudit, že se zřejmě nejedná o často používanou strategii).</w:t>
      </w:r>
    </w:p>
    <w:p w:rsidR="008E04B1" w:rsidRDefault="008E04B1" w:rsidP="00502E10">
      <w:pPr>
        <w:numPr>
          <w:ilvl w:val="0"/>
          <w:numId w:val="19"/>
        </w:numPr>
      </w:pPr>
      <w:r>
        <w:t xml:space="preserve">Je založena na metodě „čistého úroku“, tj. odstraňuje některé tvrdosti systému nízké kapitalizace, který je založen na „hrubém úroku“ a který může ztěžovat působení jednotek založených např. za účelem tzv. </w:t>
      </w:r>
      <w:proofErr w:type="spellStart"/>
      <w:r>
        <w:t>cashpoolingu</w:t>
      </w:r>
      <w:proofErr w:type="spellEnd"/>
      <w:r>
        <w:t>.</w:t>
      </w:r>
    </w:p>
    <w:p w:rsidR="008E04B1" w:rsidRDefault="008E04B1" w:rsidP="000D0172">
      <w:pPr>
        <w:numPr>
          <w:ilvl w:val="0"/>
          <w:numId w:val="19"/>
        </w:numPr>
      </w:pPr>
      <w:r>
        <w:t>Lze odhadnout, že administrativní náklady spojené se systémem navrženým v rámci Akce 4 budou zhruba srovnatelné s náklady vyvolanými stávajícím systémem. Pokud by se pravidlo omezující odečitatelnost úroků vztahovalo na všechny úroky a ne jen na úroky placené spojeným osobám, jako je to u stávajících pravidel proti nízké kapitalizaci, mohly by vyvolané administrativní náklady být dokonce nižší než dnes.</w:t>
      </w:r>
    </w:p>
    <w:p w:rsidR="008E04B1" w:rsidRDefault="008E04B1" w:rsidP="005A37BD">
      <w:r>
        <w:t>Mezi negativní dopady lze uvést:</w:t>
      </w:r>
    </w:p>
    <w:p w:rsidR="008E04B1" w:rsidRDefault="008E04B1" w:rsidP="00502E10">
      <w:pPr>
        <w:numPr>
          <w:ilvl w:val="0"/>
          <w:numId w:val="18"/>
        </w:numPr>
      </w:pPr>
      <w:r>
        <w:t xml:space="preserve">Nová pravidla </w:t>
      </w:r>
      <w:r w:rsidR="001728B0">
        <w:t>mají dopadat</w:t>
      </w:r>
      <w:r>
        <w:t xml:space="preserve"> i na úroky placené nespojeným osobám, kde je riziko přesouvání zisků mnohem menší a úroková platba tak ve většině případů představuje legitimní náklad.</w:t>
      </w:r>
    </w:p>
    <w:p w:rsidR="008E04B1" w:rsidRDefault="008E04B1" w:rsidP="005A37BD">
      <w:pPr>
        <w:numPr>
          <w:ilvl w:val="0"/>
          <w:numId w:val="18"/>
        </w:numPr>
      </w:pPr>
      <w:r>
        <w:t>Z hlediska poplatníka může nejistotu vyvolávat fakt, že dopředu, bez znalosti výše EBITDA nebude možno říci, jak velká část úroků bude odečitatelná od základu daně.</w:t>
      </w:r>
    </w:p>
    <w:p w:rsidR="008E04B1" w:rsidRDefault="008E04B1" w:rsidP="005A37BD">
      <w:pPr>
        <w:numPr>
          <w:ilvl w:val="0"/>
          <w:numId w:val="18"/>
        </w:numPr>
      </w:pPr>
      <w:r>
        <w:lastRenderedPageBreak/>
        <w:t>Nevýhodou navrženého systému v rámci Akce 4 oproti stávajícímu systému ČR je to, že při růstu nominální úrokové míry se může část úroků stát daňově neuznatelnými, i když se jinak chování poplatníka nezmění.</w:t>
      </w:r>
    </w:p>
    <w:p w:rsidR="008E04B1" w:rsidRDefault="008E04B1" w:rsidP="005A37BD">
      <w:pPr>
        <w:numPr>
          <w:ilvl w:val="0"/>
          <w:numId w:val="18"/>
        </w:numPr>
      </w:pPr>
      <w:r>
        <w:t>Změna vyvolá náklady na zavedení jak na straně poplatníků, tak daňové správy.</w:t>
      </w:r>
    </w:p>
    <w:p w:rsidR="008E04B1" w:rsidRDefault="008E04B1" w:rsidP="005A37BD">
      <w:pPr>
        <w:numPr>
          <w:ilvl w:val="0"/>
          <w:numId w:val="18"/>
        </w:numPr>
      </w:pPr>
      <w:r>
        <w:t>Navržené pravidlo může mít negativní dopady na poplatníky s nízkou EBITDA a vysokými úrokovými platbami, např. zadlužené firmy procházející restrukturalizací.</w:t>
      </w:r>
    </w:p>
    <w:p w:rsidR="008E04B1" w:rsidRDefault="008E04B1" w:rsidP="005A37BD">
      <w:pPr>
        <w:numPr>
          <w:ilvl w:val="0"/>
          <w:numId w:val="18"/>
        </w:numPr>
      </w:pPr>
      <w:r>
        <w:t>Zvýšení nákladů neúspěšného podniku.</w:t>
      </w:r>
    </w:p>
    <w:p w:rsidR="008E04B1" w:rsidRPr="007F0A4A" w:rsidRDefault="008E04B1" w:rsidP="007E2AA7">
      <w:pPr>
        <w:pStyle w:val="Nadpis3"/>
      </w:pPr>
      <w:r>
        <w:t>Předpoklad realizace</w:t>
      </w:r>
    </w:p>
    <w:p w:rsidR="005F0960" w:rsidRPr="007F0A4A" w:rsidRDefault="008E04B1" w:rsidP="00AA3838">
      <w:r w:rsidRPr="007F0A4A">
        <w:t>Viz ATAD</w:t>
      </w:r>
      <w:r>
        <w:t>:</w:t>
      </w:r>
      <w:r w:rsidRPr="007F0A4A">
        <w:t xml:space="preserve"> článek </w:t>
      </w:r>
      <w:r>
        <w:t>4</w:t>
      </w:r>
      <w:r w:rsidRPr="007F0A4A">
        <w:t>.</w:t>
      </w:r>
    </w:p>
    <w:p w:rsidR="008E04B1" w:rsidRPr="007F0A4A" w:rsidRDefault="008E04B1" w:rsidP="005A37BD">
      <w:pPr>
        <w:jc w:val="left"/>
      </w:pPr>
    </w:p>
    <w:p w:rsidR="008E04B1" w:rsidRPr="007F0A4A" w:rsidRDefault="008E04B1" w:rsidP="005A37BD">
      <w:pPr>
        <w:pStyle w:val="Nadpis2"/>
        <w:spacing w:before="120"/>
      </w:pPr>
      <w:bookmarkStart w:id="10" w:name="_Toc448736160"/>
      <w:r w:rsidRPr="007F0A4A">
        <w:lastRenderedPageBreak/>
        <w:t>Akce 5: Efektivnější čelení škodlivým daňovým praktikám</w:t>
      </w:r>
      <w:bookmarkEnd w:id="10"/>
    </w:p>
    <w:p w:rsidR="008E04B1" w:rsidRPr="007F0A4A" w:rsidRDefault="008E04B1" w:rsidP="005A37BD">
      <w:pPr>
        <w:pStyle w:val="Normlnweb"/>
        <w:spacing w:before="120" w:beforeAutospacing="0" w:after="0" w:afterAutospacing="0"/>
        <w:jc w:val="both"/>
        <w:rPr>
          <w:rFonts w:ascii="Garamond" w:hAnsi="Garamond"/>
          <w:b/>
          <w:sz w:val="28"/>
        </w:rPr>
      </w:pPr>
      <w:r>
        <w:rPr>
          <w:rFonts w:ascii="Garamond" w:hAnsi="Garamond"/>
          <w:b/>
          <w:sz w:val="28"/>
        </w:rPr>
        <w:t>Popis problému</w:t>
      </w:r>
    </w:p>
    <w:p w:rsidR="008E04B1" w:rsidRDefault="008E04B1" w:rsidP="005A37BD">
      <w:pPr>
        <w:pStyle w:val="Normlnweb"/>
        <w:spacing w:before="120" w:beforeAutospacing="0" w:after="0" w:afterAutospacing="0"/>
        <w:jc w:val="both"/>
        <w:rPr>
          <w:rFonts w:ascii="Garamond" w:hAnsi="Garamond"/>
        </w:rPr>
      </w:pPr>
      <w:r>
        <w:rPr>
          <w:rFonts w:ascii="Garamond" w:hAnsi="Garamond"/>
        </w:rPr>
        <w:t>Škodlivé daňové praktiky jsou předmětem diskusí v OECD již téměř 20 let. Zpočátku byly v ohnisku zájmu zejména daňové režimy, které poskytovaly výhody pouze zahraničním subjektům a ne srovnatelným domácím subjektům, které státy používaly k přilákání ekonomické aktivity. Takové režimy již v EU prakticky nejsou používány. Významným výsledkem předchozí práce v oblasti škodlivých daňových praktik bylo posílení významu mezinárodní výměny informací pro daňové účely.</w:t>
      </w:r>
    </w:p>
    <w:p w:rsidR="008E04B1" w:rsidRPr="007F0A4A" w:rsidRDefault="008E04B1" w:rsidP="00D701C0">
      <w:pPr>
        <w:pStyle w:val="Normlnweb"/>
        <w:spacing w:before="120" w:beforeAutospacing="0" w:after="0" w:afterAutospacing="0"/>
        <w:jc w:val="both"/>
      </w:pPr>
      <w:r>
        <w:rPr>
          <w:rFonts w:ascii="Garamond" w:hAnsi="Garamond"/>
        </w:rPr>
        <w:t xml:space="preserve">Nyní se pozornost přesunula k režimům, které jsou relevantní z hlediska projektu BEPS a které poskytují motivaci k umělému přesouvání zisků, aniž by se změnilo místo, kde probíhá skutečná ekonomická aktivita. Typickými příklady jsou preferenční daňové sazby na příjmy z držby práv duševního vlastnictví (tzv. patent boxy poskytující nižší sazbu daně na licenční poplatky) či závazná posouzení, která byla v některých státech využívána k poskytování daňových výhod vybraným poplatníkům s cílem motivovat je k umělému přesunu zisků (např. zjištění aféry </w:t>
      </w:r>
      <w:proofErr w:type="spellStart"/>
      <w:r w:rsidRPr="00D701C0">
        <w:rPr>
          <w:rFonts w:ascii="Garamond" w:hAnsi="Garamond"/>
        </w:rPr>
        <w:t>Luxembourg</w:t>
      </w:r>
      <w:proofErr w:type="spellEnd"/>
      <w:r w:rsidRPr="00D701C0">
        <w:rPr>
          <w:rFonts w:ascii="Garamond" w:hAnsi="Garamond"/>
        </w:rPr>
        <w:t xml:space="preserve"> </w:t>
      </w:r>
      <w:proofErr w:type="spellStart"/>
      <w:r w:rsidRPr="00D701C0">
        <w:rPr>
          <w:rFonts w:ascii="Garamond" w:hAnsi="Garamond"/>
        </w:rPr>
        <w:t>Leaks</w:t>
      </w:r>
      <w:proofErr w:type="spellEnd"/>
      <w:r>
        <w:rPr>
          <w:rFonts w:ascii="Garamond" w:hAnsi="Garamond"/>
        </w:rPr>
        <w:t>).</w:t>
      </w:r>
    </w:p>
    <w:p w:rsidR="008E04B1" w:rsidRPr="007F0A4A" w:rsidRDefault="008E04B1" w:rsidP="005A37BD">
      <w:pPr>
        <w:jc w:val="left"/>
        <w:rPr>
          <w:b/>
          <w:sz w:val="28"/>
        </w:rPr>
      </w:pPr>
      <w:r>
        <w:rPr>
          <w:b/>
          <w:sz w:val="28"/>
        </w:rPr>
        <w:t>Návrh řešení OECD</w:t>
      </w:r>
    </w:p>
    <w:p w:rsidR="008E04B1" w:rsidRPr="00D701C0" w:rsidRDefault="008E04B1" w:rsidP="00D701C0">
      <w:pPr>
        <w:pStyle w:val="Nadpis4"/>
      </w:pPr>
      <w:r>
        <w:t>Souvislost mezi vývojem a výzkumem a p</w:t>
      </w:r>
      <w:r w:rsidRPr="00D701C0">
        <w:t>referenční</w:t>
      </w:r>
      <w:r>
        <w:t>mi</w:t>
      </w:r>
      <w:r w:rsidRPr="00D701C0">
        <w:t xml:space="preserve"> </w:t>
      </w:r>
      <w:r>
        <w:t>daňovými sazbami</w:t>
      </w:r>
    </w:p>
    <w:p w:rsidR="008E04B1" w:rsidRDefault="008E04B1" w:rsidP="005A37BD">
      <w:pPr>
        <w:pStyle w:val="Normlnweb"/>
        <w:spacing w:before="120" w:beforeAutospacing="0" w:after="0" w:afterAutospacing="0"/>
        <w:jc w:val="both"/>
        <w:rPr>
          <w:rFonts w:ascii="Garamond" w:hAnsi="Garamond"/>
        </w:rPr>
      </w:pPr>
      <w:r>
        <w:rPr>
          <w:rFonts w:ascii="Garamond" w:hAnsi="Garamond"/>
        </w:rPr>
        <w:t xml:space="preserve">V rámci Akce 5 se státy dohodly, že preferenční sazby poskytované pro příjmy z licenčních poplatků budou moci být poskytovány pouze pro licenční poplatky, které plynou z patentů vyvinutých v dané zemi. Jinými slovy, na příjmy z patentů vyvinutých v jiné zemi a přesunutých do země poskytující preferenční sazbu, nebude moci být tato preferenční sazba poskytována. Bude tedy vyžadována souvislost mezi </w:t>
      </w:r>
      <w:r w:rsidRPr="0020385A">
        <w:rPr>
          <w:rFonts w:ascii="Garamond" w:hAnsi="Garamond"/>
        </w:rPr>
        <w:t xml:space="preserve">vývojem a výzkumem a preferenčními daňovými sazbami </w:t>
      </w:r>
      <w:r>
        <w:rPr>
          <w:rFonts w:ascii="Garamond" w:hAnsi="Garamond"/>
        </w:rPr>
        <w:t xml:space="preserve">(tzv. nexus </w:t>
      </w:r>
      <w:proofErr w:type="spellStart"/>
      <w:r>
        <w:rPr>
          <w:rFonts w:ascii="Garamond" w:hAnsi="Garamond"/>
        </w:rPr>
        <w:t>approach</w:t>
      </w:r>
      <w:proofErr w:type="spellEnd"/>
      <w:r>
        <w:rPr>
          <w:rFonts w:ascii="Garamond" w:hAnsi="Garamond"/>
        </w:rPr>
        <w:t>).</w:t>
      </w:r>
    </w:p>
    <w:p w:rsidR="008E04B1" w:rsidRDefault="008E04B1" w:rsidP="0033213E">
      <w:pPr>
        <w:pStyle w:val="Nadpis4"/>
      </w:pPr>
      <w:r>
        <w:t>Výměna informací o předběžných daňových rozhodnutích a ujednání</w:t>
      </w:r>
    </w:p>
    <w:p w:rsidR="008E04B1" w:rsidRDefault="008E04B1" w:rsidP="0033213E">
      <w:pPr>
        <w:pStyle w:val="Normlnweb"/>
        <w:spacing w:before="120" w:beforeAutospacing="0" w:after="0" w:afterAutospacing="0"/>
        <w:jc w:val="both"/>
        <w:rPr>
          <w:rFonts w:ascii="Garamond" w:hAnsi="Garamond"/>
        </w:rPr>
      </w:pPr>
      <w:r>
        <w:rPr>
          <w:rFonts w:ascii="Garamond" w:hAnsi="Garamond"/>
        </w:rPr>
        <w:t>Aby bylo do budoucna omezeno škodlivému efektu předběžných daňových rozhodnutí a ujednání, dohodly se státy, že si o nich budou vyměňovat informace. S</w:t>
      </w:r>
      <w:r w:rsidRPr="007F0A4A">
        <w:rPr>
          <w:rFonts w:ascii="Garamond" w:hAnsi="Garamond"/>
        </w:rPr>
        <w:t xml:space="preserve">pontánní výměna informací se </w:t>
      </w:r>
      <w:r>
        <w:rPr>
          <w:rFonts w:ascii="Garamond" w:hAnsi="Garamond"/>
        </w:rPr>
        <w:t>má týkat všech předběžných rozhodnutí a ujednání</w:t>
      </w:r>
      <w:r w:rsidRPr="007F0A4A">
        <w:rPr>
          <w:rFonts w:ascii="Garamond" w:hAnsi="Garamond"/>
        </w:rPr>
        <w:t>, u</w:t>
      </w:r>
      <w:r>
        <w:rPr>
          <w:rFonts w:ascii="Garamond" w:hAnsi="Garamond"/>
        </w:rPr>
        <w:t> </w:t>
      </w:r>
      <w:r w:rsidRPr="007F0A4A">
        <w:rPr>
          <w:rFonts w:ascii="Garamond" w:hAnsi="Garamond"/>
        </w:rPr>
        <w:t>nichž absence výměny informací může vést k</w:t>
      </w:r>
      <w:r>
        <w:rPr>
          <w:rFonts w:ascii="Garamond" w:hAnsi="Garamond"/>
        </w:rPr>
        <w:t xml:space="preserve">e </w:t>
      </w:r>
      <w:r w:rsidRPr="007F0A4A">
        <w:rPr>
          <w:rFonts w:ascii="Garamond" w:hAnsi="Garamond"/>
        </w:rPr>
        <w:t xml:space="preserve">snížení daňového základu </w:t>
      </w:r>
      <w:r>
        <w:rPr>
          <w:rFonts w:ascii="Garamond" w:hAnsi="Garamond"/>
        </w:rPr>
        <w:t xml:space="preserve">v jiném státě </w:t>
      </w:r>
      <w:r w:rsidRPr="007F0A4A">
        <w:rPr>
          <w:rFonts w:ascii="Garamond" w:hAnsi="Garamond"/>
        </w:rPr>
        <w:t xml:space="preserve">a </w:t>
      </w:r>
      <w:r>
        <w:rPr>
          <w:rFonts w:ascii="Garamond" w:hAnsi="Garamond"/>
        </w:rPr>
        <w:t>k </w:t>
      </w:r>
      <w:r w:rsidRPr="007F0A4A">
        <w:rPr>
          <w:rFonts w:ascii="Garamond" w:hAnsi="Garamond"/>
        </w:rPr>
        <w:t xml:space="preserve">přesunu zisků. V této souvislosti bylo stanoveno šest kategorií </w:t>
      </w:r>
      <w:r>
        <w:rPr>
          <w:rFonts w:ascii="Garamond" w:hAnsi="Garamond"/>
        </w:rPr>
        <w:t>předběžných daňových rozhodnutí a ujednání:</w:t>
      </w:r>
    </w:p>
    <w:p w:rsidR="008E04B1" w:rsidRDefault="008E04B1" w:rsidP="0033213E">
      <w:pPr>
        <w:pStyle w:val="Normlnweb"/>
        <w:numPr>
          <w:ilvl w:val="0"/>
          <w:numId w:val="21"/>
        </w:numPr>
        <w:spacing w:before="120" w:beforeAutospacing="0" w:after="0" w:afterAutospacing="0"/>
        <w:jc w:val="both"/>
        <w:rPr>
          <w:rFonts w:ascii="Garamond" w:hAnsi="Garamond"/>
        </w:rPr>
      </w:pPr>
      <w:r>
        <w:rPr>
          <w:rFonts w:ascii="Garamond" w:hAnsi="Garamond"/>
        </w:rPr>
        <w:t>předběžná daňová rozhodnutí k preferenčním režimům,</w:t>
      </w:r>
    </w:p>
    <w:p w:rsidR="008E04B1" w:rsidRDefault="008E04B1" w:rsidP="0033213E">
      <w:pPr>
        <w:pStyle w:val="Normlnweb"/>
        <w:numPr>
          <w:ilvl w:val="0"/>
          <w:numId w:val="21"/>
        </w:numPr>
        <w:spacing w:before="120" w:beforeAutospacing="0" w:after="0" w:afterAutospacing="0"/>
        <w:jc w:val="both"/>
        <w:rPr>
          <w:rFonts w:ascii="Garamond" w:hAnsi="Garamond"/>
        </w:rPr>
      </w:pPr>
      <w:r w:rsidRPr="006619C4">
        <w:rPr>
          <w:rFonts w:ascii="Garamond" w:hAnsi="Garamond"/>
        </w:rPr>
        <w:t xml:space="preserve">jednostranná předběžná cenová ujednání </w:t>
      </w:r>
      <w:r>
        <w:rPr>
          <w:rFonts w:ascii="Garamond" w:hAnsi="Garamond"/>
        </w:rPr>
        <w:t xml:space="preserve">(APA) </w:t>
      </w:r>
      <w:r w:rsidRPr="006619C4">
        <w:rPr>
          <w:rFonts w:ascii="Garamond" w:hAnsi="Garamond"/>
        </w:rPr>
        <w:t xml:space="preserve">týkající se </w:t>
      </w:r>
      <w:r>
        <w:rPr>
          <w:rFonts w:ascii="Garamond" w:hAnsi="Garamond"/>
        </w:rPr>
        <w:t xml:space="preserve">převodních cen </w:t>
      </w:r>
      <w:r w:rsidRPr="006619C4">
        <w:rPr>
          <w:rFonts w:ascii="Garamond" w:hAnsi="Garamond"/>
        </w:rPr>
        <w:t>přeshraničních transakcí</w:t>
      </w:r>
      <w:r>
        <w:rPr>
          <w:rFonts w:ascii="Garamond" w:hAnsi="Garamond"/>
        </w:rPr>
        <w:t xml:space="preserve"> nebo obdobná jednostranná závazná posouzení převodních cen</w:t>
      </w:r>
      <w:r w:rsidRPr="006619C4">
        <w:rPr>
          <w:rFonts w:ascii="Garamond" w:hAnsi="Garamond"/>
        </w:rPr>
        <w:t>,</w:t>
      </w:r>
      <w:r>
        <w:rPr>
          <w:rFonts w:ascii="Garamond" w:hAnsi="Garamond"/>
        </w:rPr>
        <w:t xml:space="preserve"> </w:t>
      </w:r>
      <w:r w:rsidRPr="00F16E70">
        <w:rPr>
          <w:rFonts w:ascii="Garamond" w:hAnsi="Garamond"/>
        </w:rPr>
        <w:t>v českém právním prostředí se hovoří o závazných posouzeních způsobu stanovení ceny sjednané mezi spojenými osobami podle § 38nc ZDP</w:t>
      </w:r>
    </w:p>
    <w:p w:rsidR="008E04B1" w:rsidRDefault="008E04B1" w:rsidP="0033213E">
      <w:pPr>
        <w:pStyle w:val="Normlnweb"/>
        <w:numPr>
          <w:ilvl w:val="0"/>
          <w:numId w:val="21"/>
        </w:numPr>
        <w:spacing w:before="120" w:beforeAutospacing="0" w:after="0" w:afterAutospacing="0"/>
        <w:jc w:val="both"/>
        <w:rPr>
          <w:rFonts w:ascii="Garamond" w:hAnsi="Garamond"/>
        </w:rPr>
      </w:pPr>
      <w:r>
        <w:rPr>
          <w:rFonts w:ascii="Garamond" w:hAnsi="Garamond"/>
        </w:rPr>
        <w:t>předběžná daňová rozhodnutí snižující základ daně, aniž se stejným způsobem snížil účetní zisk,</w:t>
      </w:r>
    </w:p>
    <w:p w:rsidR="008E04B1" w:rsidRDefault="008E04B1" w:rsidP="0033213E">
      <w:pPr>
        <w:pStyle w:val="Normlnweb"/>
        <w:numPr>
          <w:ilvl w:val="0"/>
          <w:numId w:val="21"/>
        </w:numPr>
        <w:spacing w:before="120" w:beforeAutospacing="0" w:after="0" w:afterAutospacing="0"/>
        <w:jc w:val="both"/>
        <w:rPr>
          <w:rFonts w:ascii="Garamond" w:hAnsi="Garamond"/>
        </w:rPr>
      </w:pPr>
      <w:r>
        <w:rPr>
          <w:rFonts w:ascii="Garamond" w:hAnsi="Garamond"/>
        </w:rPr>
        <w:t>předběžná daňová rozhodnutí týkající se vzniku stálé provozovny a přiřazení příjmu ke stálé provozovně,</w:t>
      </w:r>
    </w:p>
    <w:p w:rsidR="008E04B1" w:rsidRDefault="008E04B1" w:rsidP="0033213E">
      <w:pPr>
        <w:pStyle w:val="Normlnweb"/>
        <w:numPr>
          <w:ilvl w:val="0"/>
          <w:numId w:val="21"/>
        </w:numPr>
        <w:spacing w:before="120" w:beforeAutospacing="0" w:after="0" w:afterAutospacing="0"/>
        <w:jc w:val="both"/>
        <w:rPr>
          <w:rFonts w:ascii="Garamond" w:hAnsi="Garamond"/>
        </w:rPr>
      </w:pPr>
      <w:r>
        <w:rPr>
          <w:rFonts w:ascii="Garamond" w:hAnsi="Garamond"/>
        </w:rPr>
        <w:t xml:space="preserve">předběžná daňová rozhodnutí </w:t>
      </w:r>
      <w:r w:rsidRPr="00CF65D8">
        <w:rPr>
          <w:rFonts w:ascii="Garamond" w:hAnsi="Garamond"/>
        </w:rPr>
        <w:t>týkající se účelově založených spojených osob</w:t>
      </w:r>
      <w:r>
        <w:rPr>
          <w:rFonts w:ascii="Garamond" w:hAnsi="Garamond"/>
        </w:rPr>
        <w:t>, které slouží pro přesměrování finančních toků,</w:t>
      </w:r>
    </w:p>
    <w:p w:rsidR="008E04B1" w:rsidRDefault="008E04B1" w:rsidP="0033213E">
      <w:pPr>
        <w:pStyle w:val="Normlnweb"/>
        <w:numPr>
          <w:ilvl w:val="0"/>
          <w:numId w:val="21"/>
        </w:numPr>
        <w:spacing w:before="120" w:beforeAutospacing="0" w:after="0" w:afterAutospacing="0"/>
        <w:jc w:val="both"/>
        <w:rPr>
          <w:rFonts w:ascii="Garamond" w:hAnsi="Garamond"/>
        </w:rPr>
      </w:pPr>
      <w:r>
        <w:rPr>
          <w:rFonts w:ascii="Garamond" w:hAnsi="Garamond"/>
        </w:rPr>
        <w:lastRenderedPageBreak/>
        <w:t>jakákoliv jiná předběžná daňová rozhodnutí, která by v případě absence spontánní výměny informací poskytovala možnost přesouvat zisky, o kterých se Fórum pro škodlivou daňovou soutěž dohodne.</w:t>
      </w:r>
    </w:p>
    <w:p w:rsidR="008E04B1" w:rsidRPr="007F0A4A" w:rsidRDefault="008E04B1" w:rsidP="0033213E">
      <w:pPr>
        <w:pStyle w:val="Normlnweb"/>
        <w:spacing w:before="120" w:beforeAutospacing="0" w:after="0" w:afterAutospacing="0"/>
        <w:jc w:val="both"/>
        <w:rPr>
          <w:rFonts w:ascii="Garamond" w:hAnsi="Garamond"/>
        </w:rPr>
      </w:pPr>
      <w:r w:rsidRPr="007F0A4A">
        <w:rPr>
          <w:rFonts w:ascii="Garamond" w:hAnsi="Garamond"/>
        </w:rPr>
        <w:t xml:space="preserve">Povinná spontánní výměna informací se vztahuje i již na existující </w:t>
      </w:r>
      <w:r>
        <w:rPr>
          <w:rFonts w:ascii="Garamond" w:hAnsi="Garamond"/>
        </w:rPr>
        <w:t>předběžná daňová rozhodnutí a ujednání</w:t>
      </w:r>
      <w:r w:rsidRPr="007F0A4A">
        <w:rPr>
          <w:rFonts w:ascii="Garamond" w:hAnsi="Garamond"/>
        </w:rPr>
        <w:t>, tj. tedy na t</w:t>
      </w:r>
      <w:r>
        <w:rPr>
          <w:rFonts w:ascii="Garamond" w:hAnsi="Garamond"/>
        </w:rPr>
        <w:t>a</w:t>
      </w:r>
      <w:r w:rsidRPr="007F0A4A">
        <w:rPr>
          <w:rFonts w:ascii="Garamond" w:hAnsi="Garamond"/>
        </w:rPr>
        <w:t>, kter</w:t>
      </w:r>
      <w:r>
        <w:rPr>
          <w:rFonts w:ascii="Garamond" w:hAnsi="Garamond"/>
        </w:rPr>
        <w:t>á</w:t>
      </w:r>
      <w:r w:rsidRPr="007F0A4A">
        <w:rPr>
          <w:rFonts w:ascii="Garamond" w:hAnsi="Garamond"/>
        </w:rPr>
        <w:t xml:space="preserve"> byl</w:t>
      </w:r>
      <w:r>
        <w:rPr>
          <w:rFonts w:ascii="Garamond" w:hAnsi="Garamond"/>
        </w:rPr>
        <w:t>a</w:t>
      </w:r>
      <w:r w:rsidRPr="007F0A4A">
        <w:rPr>
          <w:rFonts w:ascii="Garamond" w:hAnsi="Garamond"/>
        </w:rPr>
        <w:t xml:space="preserve"> vydán</w:t>
      </w:r>
      <w:r>
        <w:rPr>
          <w:rFonts w:ascii="Garamond" w:hAnsi="Garamond"/>
        </w:rPr>
        <w:t>a</w:t>
      </w:r>
      <w:r w:rsidRPr="007F0A4A">
        <w:rPr>
          <w:rFonts w:ascii="Garamond" w:hAnsi="Garamond"/>
        </w:rPr>
        <w:t xml:space="preserve"> k 1.</w:t>
      </w:r>
      <w:r>
        <w:rPr>
          <w:rFonts w:ascii="Garamond" w:hAnsi="Garamond"/>
        </w:rPr>
        <w:t xml:space="preserve"> lednu </w:t>
      </w:r>
      <w:r w:rsidRPr="007F0A4A">
        <w:rPr>
          <w:rFonts w:ascii="Garamond" w:hAnsi="Garamond"/>
        </w:rPr>
        <w:t>2010 nebo po tomto datu, a kter</w:t>
      </w:r>
      <w:r>
        <w:rPr>
          <w:rFonts w:ascii="Garamond" w:hAnsi="Garamond"/>
        </w:rPr>
        <w:t>á</w:t>
      </w:r>
      <w:r w:rsidRPr="007F0A4A">
        <w:rPr>
          <w:rFonts w:ascii="Garamond" w:hAnsi="Garamond"/>
        </w:rPr>
        <w:t xml:space="preserve"> byl</w:t>
      </w:r>
      <w:r>
        <w:rPr>
          <w:rFonts w:ascii="Garamond" w:hAnsi="Garamond"/>
        </w:rPr>
        <w:t>a</w:t>
      </w:r>
      <w:r w:rsidRPr="007F0A4A">
        <w:rPr>
          <w:rFonts w:ascii="Garamond" w:hAnsi="Garamond"/>
        </w:rPr>
        <w:t xml:space="preserve"> stále účinn</w:t>
      </w:r>
      <w:r>
        <w:rPr>
          <w:rFonts w:ascii="Garamond" w:hAnsi="Garamond"/>
        </w:rPr>
        <w:t>á</w:t>
      </w:r>
      <w:r w:rsidRPr="007F0A4A">
        <w:rPr>
          <w:rFonts w:ascii="Garamond" w:hAnsi="Garamond"/>
        </w:rPr>
        <w:t xml:space="preserve"> k 1.</w:t>
      </w:r>
      <w:r>
        <w:rPr>
          <w:rFonts w:ascii="Garamond" w:hAnsi="Garamond"/>
        </w:rPr>
        <w:t xml:space="preserve"> lednu </w:t>
      </w:r>
      <w:r w:rsidRPr="007F0A4A">
        <w:rPr>
          <w:rFonts w:ascii="Garamond" w:hAnsi="Garamond"/>
        </w:rPr>
        <w:t>2014.</w:t>
      </w:r>
    </w:p>
    <w:p w:rsidR="008E04B1" w:rsidRDefault="008E04B1" w:rsidP="0033213E">
      <w:pPr>
        <w:pStyle w:val="Normlnweb"/>
        <w:spacing w:before="120" w:beforeAutospacing="0" w:after="0" w:afterAutospacing="0"/>
        <w:jc w:val="both"/>
        <w:rPr>
          <w:rFonts w:ascii="Garamond" w:hAnsi="Garamond"/>
        </w:rPr>
      </w:pPr>
      <w:r>
        <w:rPr>
          <w:rFonts w:ascii="Garamond" w:hAnsi="Garamond"/>
        </w:rPr>
        <w:t>Předběžná daňová rozhodnutí a ujednání jsou</w:t>
      </w:r>
      <w:r w:rsidRPr="007F0A4A">
        <w:rPr>
          <w:rFonts w:ascii="Garamond" w:hAnsi="Garamond"/>
        </w:rPr>
        <w:t xml:space="preserve"> přitom definován</w:t>
      </w:r>
      <w:r>
        <w:rPr>
          <w:rFonts w:ascii="Garamond" w:hAnsi="Garamond"/>
        </w:rPr>
        <w:t>a</w:t>
      </w:r>
      <w:r w:rsidRPr="007F0A4A">
        <w:rPr>
          <w:rFonts w:ascii="Garamond" w:hAnsi="Garamond"/>
        </w:rPr>
        <w:t xml:space="preserve"> </w:t>
      </w:r>
      <w:r>
        <w:rPr>
          <w:rFonts w:ascii="Garamond" w:hAnsi="Garamond"/>
        </w:rPr>
        <w:t xml:space="preserve">poměrně široce, </w:t>
      </w:r>
      <w:r w:rsidRPr="007F0A4A">
        <w:rPr>
          <w:rFonts w:ascii="Garamond" w:hAnsi="Garamond"/>
        </w:rPr>
        <w:t xml:space="preserve">jako jakákoliv </w:t>
      </w:r>
      <w:r>
        <w:rPr>
          <w:rFonts w:ascii="Garamond" w:hAnsi="Garamond"/>
        </w:rPr>
        <w:t>rada, informace nebo jednání daňové správy vůči jednomu poplatníkovi nebo skupině poplatníků, které se týká jejich daňových povinností a na které se poplatníci, jimž je určeno, mohou spolehnout. Jedná se o širší skupinu instrumentů, než v ČR vydávaná závazná posouzení podle ZDP. Výměna informací se týká pouze instrumentů určených konkrétním poplatníkům.</w:t>
      </w:r>
    </w:p>
    <w:p w:rsidR="008E04B1" w:rsidRPr="007F0A4A" w:rsidRDefault="008E04B1" w:rsidP="0033213E">
      <w:pPr>
        <w:jc w:val="left"/>
        <w:rPr>
          <w:b/>
          <w:sz w:val="28"/>
        </w:rPr>
      </w:pPr>
      <w:r>
        <w:rPr>
          <w:b/>
          <w:sz w:val="28"/>
        </w:rPr>
        <w:t>Aplikace v ČR</w:t>
      </w:r>
    </w:p>
    <w:p w:rsidR="008E04B1" w:rsidRDefault="008E04B1" w:rsidP="0033213E">
      <w:r>
        <w:t>V ČR neexistuje preferenční sazba na příjmy z licenčních poplatků, a proto není třeba pravidlo, které bylo shodnuto v rámci Akce 5, implementovat. ČR však má zájem na tom, aby bylo implementováno státy, které preferenční sazby uplatňují, protože to sníží motivaci českých subjektů k přesunu práv duševního vlastnictví do těchto zemí.</w:t>
      </w:r>
    </w:p>
    <w:p w:rsidR="008E04B1" w:rsidRPr="007F0A4A" w:rsidRDefault="008E04B1" w:rsidP="0033213E">
      <w:pPr>
        <w:rPr>
          <w:b/>
          <w:sz w:val="28"/>
        </w:rPr>
      </w:pPr>
      <w:r>
        <w:t xml:space="preserve">Závazná posouzení je možné vyměňovat na základě stávajících ustanovení o spontánní výměně informací. Avšak tento systém vykazoval určité nedostatky, proto OECD přešlo na povinnou spontánní výměnu informací. V rámci EU bude zavedena dokonce automatická výměna informací o předběžných daňových rozhodnutích a ujednáních. Směrnice </w:t>
      </w:r>
      <w:r w:rsidRPr="00BF2E39">
        <w:t>Rady (EU) 2015/2376</w:t>
      </w:r>
      <w:r>
        <w:t xml:space="preserve"> (tzv. DAC3), která doplňuje směrnici o</w:t>
      </w:r>
      <w:r w:rsidRPr="00BC2C70">
        <w:t xml:space="preserve"> správní spolupráci v oblasti daní</w:t>
      </w:r>
      <w:r>
        <w:t>, bude transponována tím, že se do zákona č. 164/2013 Sb., o mezinárodní spolupráci při správě daní, zavede ustanovení o automatické výměně</w:t>
      </w:r>
      <w:r w:rsidRPr="00BC2C70">
        <w:t xml:space="preserve"> informací o předběžných daňových rozhodnutích a o předběžn</w:t>
      </w:r>
      <w:r>
        <w:t>ých</w:t>
      </w:r>
      <w:r w:rsidRPr="00BC2C70">
        <w:t xml:space="preserve"> </w:t>
      </w:r>
      <w:r>
        <w:t xml:space="preserve">posouzeních </w:t>
      </w:r>
      <w:r w:rsidRPr="00BC2C70">
        <w:t>převodních cen.</w:t>
      </w:r>
    </w:p>
    <w:p w:rsidR="008E04B1" w:rsidRDefault="008E04B1" w:rsidP="0033213E">
      <w:pPr>
        <w:jc w:val="left"/>
        <w:rPr>
          <w:b/>
          <w:sz w:val="28"/>
        </w:rPr>
      </w:pPr>
      <w:r>
        <w:rPr>
          <w:b/>
          <w:sz w:val="28"/>
        </w:rPr>
        <w:t>Předpoklad realizace</w:t>
      </w:r>
    </w:p>
    <w:p w:rsidR="008E04B1" w:rsidRPr="007F0A4A" w:rsidRDefault="008E04B1" w:rsidP="00F16E70">
      <w:pPr>
        <w:rPr>
          <w:b/>
          <w:sz w:val="28"/>
        </w:rPr>
      </w:pPr>
      <w:r>
        <w:t xml:space="preserve">Dle dohody v OECD mají být minulá závazná posouzení vyměněna do konce roku 2016. Budoucí závazná posouzení, tj. rozhodnutí vydaná od 1. dubna 2016, budou vyměňována na základě existující legislativy (např. smlouvy o zamezení dvojímu zdanění). Transpozice směrnice, kterou se zavádí povinná automatická výměna informací </w:t>
      </w:r>
      <w:r w:rsidRPr="00BC2C70">
        <w:t>o předběžných daňových rozhodnutích a o předběžn</w:t>
      </w:r>
      <w:r>
        <w:t>ých</w:t>
      </w:r>
      <w:r w:rsidRPr="00BC2C70">
        <w:t xml:space="preserve"> </w:t>
      </w:r>
      <w:r>
        <w:t xml:space="preserve">posouzeních </w:t>
      </w:r>
      <w:r w:rsidRPr="00BC2C70">
        <w:t>převodních cen</w:t>
      </w:r>
      <w:r>
        <w:t xml:space="preserve">, bude provedena do 31. prosince 2016. </w:t>
      </w:r>
    </w:p>
    <w:p w:rsidR="008E04B1" w:rsidRPr="007F0A4A" w:rsidRDefault="008E04B1" w:rsidP="005A37BD">
      <w:pPr>
        <w:jc w:val="left"/>
        <w:rPr>
          <w:b/>
          <w:sz w:val="28"/>
        </w:rPr>
      </w:pPr>
    </w:p>
    <w:p w:rsidR="008E04B1" w:rsidRPr="007F0A4A" w:rsidRDefault="008E04B1" w:rsidP="005A37BD">
      <w:pPr>
        <w:jc w:val="left"/>
      </w:pPr>
    </w:p>
    <w:p w:rsidR="008E04B1" w:rsidRPr="007F0A4A" w:rsidRDefault="008E04B1" w:rsidP="005A37BD">
      <w:pPr>
        <w:pStyle w:val="Nadpis2"/>
        <w:spacing w:before="120"/>
      </w:pPr>
      <w:bookmarkStart w:id="11" w:name="_Toc448736161"/>
      <w:r w:rsidRPr="007F0A4A">
        <w:lastRenderedPageBreak/>
        <w:t>Akce 6: Předcházení zneužívání smluv o zamezení dvojímu zdanění</w:t>
      </w:r>
      <w:bookmarkEnd w:id="11"/>
    </w:p>
    <w:p w:rsidR="008E04B1" w:rsidRPr="007F0A4A" w:rsidRDefault="008E04B1" w:rsidP="007E2AA7">
      <w:pPr>
        <w:pStyle w:val="Nadpis3"/>
      </w:pPr>
      <w:r>
        <w:t>Popis problému</w:t>
      </w:r>
    </w:p>
    <w:p w:rsidR="008E04B1" w:rsidRPr="007F0A4A" w:rsidRDefault="008E04B1" w:rsidP="005D3D57">
      <w:pPr>
        <w:rPr>
          <w:lang w:eastAsia="cs-CZ"/>
        </w:rPr>
      </w:pPr>
      <w:r>
        <w:rPr>
          <w:lang w:eastAsia="cs-CZ"/>
        </w:rPr>
        <w:t xml:space="preserve">Jedná se o snahu zamezit aplikaci smluv v situacích, které jsou účelově vytvořeny bez jakéhokoliv dalšího ekonomického (legitimního) důvodu, a to tedy pouze za účelem </w:t>
      </w:r>
      <w:r w:rsidRPr="007F0A4A">
        <w:rPr>
          <w:lang w:eastAsia="cs-CZ"/>
        </w:rPr>
        <w:t>snížení efektivního zdanění, příp. dosažení dvojího nezdanění.</w:t>
      </w:r>
    </w:p>
    <w:p w:rsidR="008E04B1" w:rsidRPr="007F0A4A" w:rsidRDefault="008E04B1" w:rsidP="007E2AA7">
      <w:pPr>
        <w:pStyle w:val="Nadpis3"/>
      </w:pPr>
      <w:r>
        <w:t>Návrh řešení OECD</w:t>
      </w:r>
    </w:p>
    <w:p w:rsidR="008E04B1" w:rsidRPr="007F0A4A" w:rsidRDefault="008E04B1" w:rsidP="005A37BD">
      <w:pPr>
        <w:rPr>
          <w:lang w:eastAsia="cs-CZ"/>
        </w:rPr>
      </w:pPr>
      <w:r w:rsidRPr="007F0A4A">
        <w:rPr>
          <w:lang w:eastAsia="cs-CZ"/>
        </w:rPr>
        <w:t xml:space="preserve">Akce 6 přináší tyto změny do </w:t>
      </w:r>
      <w:r>
        <w:rPr>
          <w:lang w:eastAsia="cs-CZ"/>
        </w:rPr>
        <w:t xml:space="preserve">Modelové </w:t>
      </w:r>
      <w:r w:rsidRPr="0043441F">
        <w:rPr>
          <w:lang w:eastAsia="cs-CZ"/>
        </w:rPr>
        <w:t>smlouv</w:t>
      </w:r>
      <w:r>
        <w:rPr>
          <w:lang w:eastAsia="cs-CZ"/>
        </w:rPr>
        <w:t>y</w:t>
      </w:r>
      <w:r w:rsidRPr="007F0A4A">
        <w:rPr>
          <w:lang w:eastAsia="cs-CZ"/>
        </w:rPr>
        <w:t>:</w:t>
      </w:r>
    </w:p>
    <w:p w:rsidR="008E04B1" w:rsidRPr="007F0A4A" w:rsidRDefault="008E04B1" w:rsidP="005D3D57">
      <w:pPr>
        <w:pStyle w:val="Odstavecseseznamem"/>
        <w:numPr>
          <w:ilvl w:val="0"/>
          <w:numId w:val="22"/>
        </w:numPr>
        <w:contextualSpacing w:val="0"/>
        <w:rPr>
          <w:lang w:eastAsia="cs-CZ"/>
        </w:rPr>
      </w:pPr>
      <w:r w:rsidRPr="007F0A4A">
        <w:rPr>
          <w:lang w:eastAsia="cs-CZ"/>
        </w:rPr>
        <w:t xml:space="preserve">Doplnění názvu a preambule o textaci, ze které vyplývá cíl a smysl smlouvy, </w:t>
      </w:r>
      <w:proofErr w:type="gramStart"/>
      <w:r w:rsidRPr="007F0A4A">
        <w:rPr>
          <w:lang w:eastAsia="cs-CZ"/>
        </w:rPr>
        <w:t>tj., že</w:t>
      </w:r>
      <w:proofErr w:type="gramEnd"/>
      <w:r w:rsidRPr="007F0A4A">
        <w:rPr>
          <w:lang w:eastAsia="cs-CZ"/>
        </w:rPr>
        <w:t xml:space="preserve"> smlouva o zamezení dvojímu zdanění neslouží k vytvoření příležitosti k nezdanění nebo ke snížení zdanění skrze daňové úniky či prostřednictvím vyhýbaní se daňové povinnosti</w:t>
      </w:r>
      <w:r>
        <w:rPr>
          <w:lang w:eastAsia="cs-CZ"/>
        </w:rPr>
        <w:t xml:space="preserve"> (minimální standard)</w:t>
      </w:r>
      <w:r w:rsidRPr="007F0A4A">
        <w:rPr>
          <w:lang w:eastAsia="cs-CZ"/>
        </w:rPr>
        <w:t>.</w:t>
      </w:r>
    </w:p>
    <w:p w:rsidR="008E04B1" w:rsidRPr="007F0A4A" w:rsidRDefault="008E04B1" w:rsidP="005D3D57">
      <w:pPr>
        <w:pStyle w:val="Odstavecseseznamem"/>
        <w:numPr>
          <w:ilvl w:val="0"/>
          <w:numId w:val="22"/>
        </w:numPr>
        <w:contextualSpacing w:val="0"/>
        <w:rPr>
          <w:lang w:eastAsia="cs-CZ"/>
        </w:rPr>
      </w:pPr>
      <w:r w:rsidRPr="007F0A4A">
        <w:rPr>
          <w:lang w:eastAsia="cs-CZ"/>
        </w:rPr>
        <w:t>Doplnění o nový článek obsahující ustanovení o „</w:t>
      </w:r>
      <w:proofErr w:type="spellStart"/>
      <w:r w:rsidRPr="007F0A4A">
        <w:rPr>
          <w:lang w:eastAsia="cs-CZ"/>
        </w:rPr>
        <w:t>limitation</w:t>
      </w:r>
      <w:proofErr w:type="spellEnd"/>
      <w:r w:rsidRPr="007F0A4A">
        <w:rPr>
          <w:lang w:eastAsia="cs-CZ"/>
        </w:rPr>
        <w:t>-on-</w:t>
      </w:r>
      <w:proofErr w:type="spellStart"/>
      <w:r w:rsidRPr="007F0A4A">
        <w:rPr>
          <w:lang w:eastAsia="cs-CZ"/>
        </w:rPr>
        <w:t>benefits</w:t>
      </w:r>
      <w:proofErr w:type="spellEnd"/>
      <w:r w:rsidRPr="007F0A4A">
        <w:rPr>
          <w:lang w:eastAsia="cs-CZ"/>
        </w:rPr>
        <w:t>“ (dále jen „</w:t>
      </w:r>
      <w:proofErr w:type="spellStart"/>
      <w:r w:rsidRPr="007F0A4A">
        <w:rPr>
          <w:lang w:eastAsia="cs-CZ"/>
        </w:rPr>
        <w:t>LoB</w:t>
      </w:r>
      <w:proofErr w:type="spellEnd"/>
      <w:r w:rsidRPr="007F0A4A">
        <w:rPr>
          <w:lang w:eastAsia="cs-CZ"/>
        </w:rPr>
        <w:t>“) a</w:t>
      </w:r>
      <w:r>
        <w:rPr>
          <w:lang w:eastAsia="cs-CZ"/>
        </w:rPr>
        <w:t>/nebo</w:t>
      </w:r>
      <w:r w:rsidRPr="007F0A4A">
        <w:rPr>
          <w:lang w:eastAsia="cs-CZ"/>
        </w:rPr>
        <w:t xml:space="preserve"> tzv. GAAR (</w:t>
      </w:r>
      <w:proofErr w:type="spellStart"/>
      <w:r w:rsidRPr="007F0A4A">
        <w:rPr>
          <w:lang w:eastAsia="cs-CZ"/>
        </w:rPr>
        <w:t>principal</w:t>
      </w:r>
      <w:proofErr w:type="spellEnd"/>
      <w:r w:rsidRPr="007F0A4A">
        <w:rPr>
          <w:lang w:eastAsia="cs-CZ"/>
        </w:rPr>
        <w:t xml:space="preserve"> </w:t>
      </w:r>
      <w:proofErr w:type="spellStart"/>
      <w:r w:rsidRPr="007F0A4A">
        <w:rPr>
          <w:lang w:eastAsia="cs-CZ"/>
        </w:rPr>
        <w:t>purpose</w:t>
      </w:r>
      <w:r>
        <w:rPr>
          <w:lang w:eastAsia="cs-CZ"/>
        </w:rPr>
        <w:t>s</w:t>
      </w:r>
      <w:proofErr w:type="spellEnd"/>
      <w:r w:rsidRPr="007F0A4A">
        <w:rPr>
          <w:lang w:eastAsia="cs-CZ"/>
        </w:rPr>
        <w:t xml:space="preserve"> test - dále jen „PPT“), přičemž </w:t>
      </w:r>
      <w:r>
        <w:rPr>
          <w:lang w:eastAsia="cs-CZ"/>
        </w:rPr>
        <w:t xml:space="preserve">tento </w:t>
      </w:r>
      <w:r w:rsidRPr="007F0A4A">
        <w:rPr>
          <w:lang w:eastAsia="cs-CZ"/>
        </w:rPr>
        <w:t>nastavený minimální standard lze</w:t>
      </w:r>
      <w:r>
        <w:rPr>
          <w:lang w:eastAsia="cs-CZ"/>
        </w:rPr>
        <w:t xml:space="preserve"> tedy</w:t>
      </w:r>
      <w:r w:rsidRPr="007F0A4A">
        <w:rPr>
          <w:lang w:eastAsia="cs-CZ"/>
        </w:rPr>
        <w:t xml:space="preserve"> naplňovat buď jedním, nebo druhým pravidlem, popř. kombinací obojího.</w:t>
      </w:r>
    </w:p>
    <w:p w:rsidR="008E04B1" w:rsidRPr="007F0A4A" w:rsidRDefault="008E04B1" w:rsidP="005D3D57">
      <w:pPr>
        <w:pStyle w:val="Odstavecseseznamem"/>
        <w:numPr>
          <w:ilvl w:val="0"/>
          <w:numId w:val="22"/>
        </w:numPr>
        <w:contextualSpacing w:val="0"/>
        <w:rPr>
          <w:lang w:eastAsia="cs-CZ"/>
        </w:rPr>
      </w:pPr>
      <w:r w:rsidRPr="007F0A4A">
        <w:rPr>
          <w:lang w:eastAsia="cs-CZ"/>
        </w:rPr>
        <w:t xml:space="preserve">Doplnění odstavce 2 článku 10 o tzv. časový test (minimum holding period) 1 roku (365 dní), a to </w:t>
      </w:r>
      <w:r w:rsidRPr="007F0A4A">
        <w:t>spolu s upřesněním způsobu jeho počítání (kontext fúzí apod.).</w:t>
      </w:r>
    </w:p>
    <w:p w:rsidR="008E04B1" w:rsidRPr="007F0A4A" w:rsidRDefault="008E04B1" w:rsidP="005D3D57">
      <w:pPr>
        <w:pStyle w:val="Odstavecseseznamem"/>
        <w:numPr>
          <w:ilvl w:val="0"/>
          <w:numId w:val="22"/>
        </w:numPr>
        <w:contextualSpacing w:val="0"/>
        <w:rPr>
          <w:lang w:eastAsia="cs-CZ"/>
        </w:rPr>
      </w:pPr>
      <w:r w:rsidRPr="007F0A4A">
        <w:rPr>
          <w:lang w:eastAsia="cs-CZ"/>
        </w:rPr>
        <w:t>Doplnění odstavce 4 článku 13 o časový test 1 roku (365 dní), a to „kdykoliv před momentem zcizení“. Současně dochází k rozšíření působnosti tohoto ustanovení na podíly na trustech, osobních společnostech apod.</w:t>
      </w:r>
    </w:p>
    <w:p w:rsidR="008E04B1" w:rsidRPr="007F0A4A" w:rsidRDefault="008E04B1" w:rsidP="005D3D57">
      <w:pPr>
        <w:pStyle w:val="Odstavecseseznamem"/>
        <w:numPr>
          <w:ilvl w:val="0"/>
          <w:numId w:val="22"/>
        </w:numPr>
        <w:contextualSpacing w:val="0"/>
        <w:rPr>
          <w:lang w:eastAsia="cs-CZ"/>
        </w:rPr>
      </w:pPr>
      <w:r w:rsidRPr="007F0A4A">
        <w:rPr>
          <w:lang w:eastAsia="cs-CZ"/>
        </w:rPr>
        <w:t>Doplnění tzv. „</w:t>
      </w:r>
      <w:proofErr w:type="spellStart"/>
      <w:r w:rsidRPr="006E2097">
        <w:rPr>
          <w:lang w:eastAsia="cs-CZ"/>
        </w:rPr>
        <w:t>tie</w:t>
      </w:r>
      <w:proofErr w:type="spellEnd"/>
      <w:r w:rsidRPr="006E2097">
        <w:rPr>
          <w:lang w:eastAsia="cs-CZ"/>
        </w:rPr>
        <w:t xml:space="preserve"> </w:t>
      </w:r>
      <w:proofErr w:type="spellStart"/>
      <w:r w:rsidRPr="006E2097">
        <w:rPr>
          <w:lang w:eastAsia="cs-CZ"/>
        </w:rPr>
        <w:t>breaker</w:t>
      </w:r>
      <w:proofErr w:type="spellEnd"/>
      <w:r w:rsidRPr="006E2097">
        <w:rPr>
          <w:lang w:eastAsia="cs-CZ"/>
        </w:rPr>
        <w:t xml:space="preserve"> rule</w:t>
      </w:r>
      <w:r w:rsidRPr="007F0A4A">
        <w:rPr>
          <w:lang w:eastAsia="cs-CZ"/>
        </w:rPr>
        <w:t>“ do čl. 4 odst. 3 pro určení daňo</w:t>
      </w:r>
      <w:r>
        <w:rPr>
          <w:lang w:eastAsia="cs-CZ"/>
        </w:rPr>
        <w:t>vé rezidence u jiných osob než fyzických</w:t>
      </w:r>
      <w:r w:rsidRPr="007F0A4A">
        <w:rPr>
          <w:lang w:eastAsia="cs-CZ"/>
        </w:rPr>
        <w:t xml:space="preserve"> </w:t>
      </w:r>
      <w:r>
        <w:rPr>
          <w:lang w:eastAsia="cs-CZ"/>
        </w:rPr>
        <w:t xml:space="preserve">v situaci </w:t>
      </w:r>
      <w:r w:rsidRPr="007F0A4A">
        <w:rPr>
          <w:lang w:eastAsia="cs-CZ"/>
        </w:rPr>
        <w:t>duální</w:t>
      </w:r>
      <w:r>
        <w:rPr>
          <w:lang w:eastAsia="cs-CZ"/>
        </w:rPr>
        <w:t>ho</w:t>
      </w:r>
      <w:r w:rsidRPr="007F0A4A">
        <w:rPr>
          <w:lang w:eastAsia="cs-CZ"/>
        </w:rPr>
        <w:t xml:space="preserve"> rezidentství (prolíná se s Akcí č. 2).</w:t>
      </w:r>
    </w:p>
    <w:p w:rsidR="008E04B1" w:rsidRDefault="008E04B1" w:rsidP="005D3D57">
      <w:pPr>
        <w:pStyle w:val="Odstavecseseznamem"/>
        <w:numPr>
          <w:ilvl w:val="0"/>
          <w:numId w:val="22"/>
        </w:numPr>
        <w:contextualSpacing w:val="0"/>
        <w:rPr>
          <w:lang w:eastAsia="cs-CZ"/>
        </w:rPr>
      </w:pPr>
      <w:r w:rsidRPr="007F0A4A">
        <w:rPr>
          <w:lang w:eastAsia="cs-CZ"/>
        </w:rPr>
        <w:t xml:space="preserve">Doplnění o pravidlo proti zneužívání tzv. </w:t>
      </w:r>
      <w:proofErr w:type="spellStart"/>
      <w:r w:rsidRPr="007F0A4A">
        <w:rPr>
          <w:lang w:eastAsia="cs-CZ"/>
        </w:rPr>
        <w:t>triangulárních</w:t>
      </w:r>
      <w:proofErr w:type="spellEnd"/>
      <w:r w:rsidRPr="007F0A4A">
        <w:rPr>
          <w:lang w:eastAsia="cs-CZ"/>
        </w:rPr>
        <w:t xml:space="preserve"> případů, kdy je příjem ze zdrojů na území jednoho státu pobíraný rezidentem druhého státu </w:t>
      </w:r>
      <w:proofErr w:type="spellStart"/>
      <w:r w:rsidRPr="007F0A4A">
        <w:rPr>
          <w:lang w:eastAsia="cs-CZ"/>
        </w:rPr>
        <w:t>alokovatelný</w:t>
      </w:r>
      <w:proofErr w:type="spellEnd"/>
      <w:r w:rsidRPr="007F0A4A">
        <w:rPr>
          <w:lang w:eastAsia="cs-CZ"/>
        </w:rPr>
        <w:t xml:space="preserve"> stálé provozovně tohoto rezidenta umístěné ve třetím státě, přičemž je vůči tomuto příjmu tímto druhým státem, za účelem vyloučení mezinárodního dvojího zdanění, uplatňována metoda vynětí na zisky přičitatelné </w:t>
      </w:r>
      <w:r>
        <w:rPr>
          <w:lang w:eastAsia="cs-CZ"/>
        </w:rPr>
        <w:t>této</w:t>
      </w:r>
      <w:r w:rsidRPr="007F0A4A">
        <w:rPr>
          <w:lang w:eastAsia="cs-CZ"/>
        </w:rPr>
        <w:t xml:space="preserve"> stále provozovně.</w:t>
      </w:r>
    </w:p>
    <w:p w:rsidR="008E04B1" w:rsidRPr="007F0A4A" w:rsidRDefault="008E04B1" w:rsidP="0096661C">
      <w:pPr>
        <w:pStyle w:val="Odstavecseseznamem"/>
        <w:ind w:left="360"/>
        <w:contextualSpacing w:val="0"/>
        <w:rPr>
          <w:lang w:eastAsia="cs-CZ"/>
        </w:rPr>
      </w:pPr>
      <w:r>
        <w:rPr>
          <w:lang w:eastAsia="cs-CZ"/>
        </w:rPr>
        <w:t xml:space="preserve">Je třeba poznamenat, že diskuse o této akci na úrovní OECD nadále probíhají, a to jak v kontextu samotného </w:t>
      </w:r>
      <w:proofErr w:type="spellStart"/>
      <w:r>
        <w:rPr>
          <w:lang w:eastAsia="cs-CZ"/>
        </w:rPr>
        <w:t>LoB</w:t>
      </w:r>
      <w:proofErr w:type="spellEnd"/>
      <w:r>
        <w:rPr>
          <w:lang w:eastAsia="cs-CZ"/>
        </w:rPr>
        <w:t xml:space="preserve"> ustanovení, tak i např. v kontextu otázky smluvního rezidentství penzijních fondů, přístupu k výhodám ze smluv ze strany „nekolektivních“ investičních „subjektů“ apod.</w:t>
      </w:r>
    </w:p>
    <w:p w:rsidR="008E04B1" w:rsidRPr="007F0A4A" w:rsidRDefault="008E04B1" w:rsidP="007E2AA7">
      <w:pPr>
        <w:pStyle w:val="Nadpis3"/>
      </w:pPr>
      <w:bookmarkStart w:id="12" w:name="_Toc443032329"/>
      <w:r>
        <w:t>Aplikace v ČR</w:t>
      </w:r>
    </w:p>
    <w:p w:rsidR="008E04B1" w:rsidRPr="006A20E3" w:rsidRDefault="008E04B1" w:rsidP="0096661C">
      <w:r w:rsidRPr="006A20E3">
        <w:t xml:space="preserve">Je možno říci, že nic nebrání tomu, aby už i existující smlouvy </w:t>
      </w:r>
      <w:r>
        <w:t xml:space="preserve">o zamezení dvojímu zdanění </w:t>
      </w:r>
      <w:r w:rsidRPr="006A20E3">
        <w:t xml:space="preserve">byly </w:t>
      </w:r>
      <w:r>
        <w:t xml:space="preserve">vykládány </w:t>
      </w:r>
      <w:r w:rsidRPr="006A20E3">
        <w:t xml:space="preserve">v tom smyslu, že výhody </w:t>
      </w:r>
      <w:r>
        <w:t xml:space="preserve">z nich </w:t>
      </w:r>
      <w:r w:rsidRPr="006A20E3">
        <w:t xml:space="preserve">vyplývající by neměly být </w:t>
      </w:r>
      <w:proofErr w:type="gramStart"/>
      <w:r w:rsidRPr="006A20E3">
        <w:t>dostupné pokud</w:t>
      </w:r>
      <w:proofErr w:type="gramEnd"/>
      <w:r w:rsidRPr="006A20E3">
        <w:t xml:space="preserve"> hlavním smyslem vstupu do určité transakce či uspořádání bylo zajištění výhod plynoucích ze smlouvy nebo příznivější daňový režim a získání takových výhod nebo takového příznivějšího daňového režimu je v rozporu se smyslem a účelem příslušných ustanovení smlouvy</w:t>
      </w:r>
      <w:r>
        <w:t>.</w:t>
      </w:r>
      <w:r w:rsidRPr="006A20E3">
        <w:t xml:space="preserve"> Tato zásada vyplývá i z textu </w:t>
      </w:r>
      <w:r>
        <w:t xml:space="preserve">např. </w:t>
      </w:r>
      <w:r w:rsidRPr="006A20E3">
        <w:t>existující Vídeňské úmluvy o smluvním právu (např. její článek 31)</w:t>
      </w:r>
      <w:r>
        <w:t>.</w:t>
      </w:r>
      <w:r w:rsidRPr="006A20E3">
        <w:t xml:space="preserve"> </w:t>
      </w:r>
    </w:p>
    <w:p w:rsidR="008E04B1" w:rsidRDefault="008E04B1" w:rsidP="003F04C3"/>
    <w:p w:rsidR="008E04B1" w:rsidRPr="007F0A4A" w:rsidRDefault="008E04B1" w:rsidP="003F04C3">
      <w:r w:rsidRPr="007F0A4A">
        <w:lastRenderedPageBreak/>
        <w:t xml:space="preserve">Implementace konceptu </w:t>
      </w:r>
      <w:proofErr w:type="spellStart"/>
      <w:r w:rsidRPr="007F0A4A">
        <w:t>LoB</w:t>
      </w:r>
      <w:proofErr w:type="spellEnd"/>
      <w:r w:rsidRPr="007F0A4A">
        <w:t xml:space="preserve"> </w:t>
      </w:r>
      <w:r>
        <w:t xml:space="preserve">se pro svoji technickou komplikovanost spojenou s aplikačními problémy nedoporučuje (v tuto chvíli se konkrétní podoba ustanovení jeví v rámci pracovní skupiny jako </w:t>
      </w:r>
      <w:proofErr w:type="spellStart"/>
      <w:r>
        <w:t>nedojednatelná</w:t>
      </w:r>
      <w:proofErr w:type="spellEnd"/>
      <w:r>
        <w:t xml:space="preserve">), navíc tento koncept míří </w:t>
      </w:r>
      <w:r w:rsidRPr="007F0A4A">
        <w:t>pouze na jednu formu zneužívání smluv, a to na tzv. „</w:t>
      </w:r>
      <w:proofErr w:type="spellStart"/>
      <w:r w:rsidRPr="007F0A4A">
        <w:t>treaty</w:t>
      </w:r>
      <w:proofErr w:type="spellEnd"/>
      <w:r w:rsidRPr="007F0A4A">
        <w:t xml:space="preserve"> shopping“</w:t>
      </w:r>
      <w:r>
        <w:t xml:space="preserve">. </w:t>
      </w:r>
    </w:p>
    <w:p w:rsidR="008E04B1" w:rsidRPr="007F0A4A" w:rsidRDefault="008E04B1" w:rsidP="003F04C3">
      <w:pPr>
        <w:rPr>
          <w:lang w:eastAsia="cs-CZ"/>
        </w:rPr>
      </w:pPr>
      <w:r w:rsidRPr="007F0A4A">
        <w:t xml:space="preserve">Ostatní návrhy bude potřeba řešit v rámci expertních jednání, včetně implementace pravidla proti zamezení zneužívání uvedených </w:t>
      </w:r>
      <w:proofErr w:type="spellStart"/>
      <w:r w:rsidRPr="007F0A4A">
        <w:t>triangulárních</w:t>
      </w:r>
      <w:proofErr w:type="spellEnd"/>
      <w:r w:rsidRPr="007F0A4A">
        <w:t xml:space="preserve"> případů, které nemá v případě většiny českých smluv opodstatnění, jelikož většina českých smluv řeší tyto situace prostřednictvím metody zápočtu, i když samozřejmě nic nebrání </w:t>
      </w:r>
      <w:proofErr w:type="spellStart"/>
      <w:r w:rsidRPr="007F0A4A">
        <w:t>přeformulaci</w:t>
      </w:r>
      <w:proofErr w:type="spellEnd"/>
      <w:r w:rsidRPr="007F0A4A">
        <w:t xml:space="preserve"> předmětného ustanovení a nevázat jej tak jen na aplikaci metody vynětí.</w:t>
      </w:r>
    </w:p>
    <w:p w:rsidR="008E04B1" w:rsidRPr="007F0A4A" w:rsidRDefault="008E04B1" w:rsidP="007E2AA7">
      <w:pPr>
        <w:pStyle w:val="Nadpis3"/>
      </w:pPr>
      <w:r>
        <w:t>Předpoklad realizace</w:t>
      </w:r>
      <w:bookmarkEnd w:id="12"/>
    </w:p>
    <w:p w:rsidR="008E04B1" w:rsidRPr="007F0A4A" w:rsidRDefault="008E04B1" w:rsidP="005A37BD">
      <w:r>
        <w:t xml:space="preserve">Bude záviset na výsledcích bilaterálních </w:t>
      </w:r>
      <w:proofErr w:type="gramStart"/>
      <w:r>
        <w:t>jednáních</w:t>
      </w:r>
      <w:proofErr w:type="gramEnd"/>
      <w:r>
        <w:t>, a to i popř. v rámci Akce 15.</w:t>
      </w:r>
    </w:p>
    <w:p w:rsidR="008E04B1" w:rsidRPr="007F0A4A" w:rsidRDefault="008E04B1" w:rsidP="005A37BD">
      <w:pPr>
        <w:pStyle w:val="Nadpis2"/>
        <w:spacing w:before="120"/>
      </w:pPr>
      <w:bookmarkStart w:id="13" w:name="_Toc448736162"/>
      <w:r w:rsidRPr="007F0A4A">
        <w:lastRenderedPageBreak/>
        <w:t>Akce 7: Předcházení umělému vyhýbání se statusu stálé provozovny</w:t>
      </w:r>
      <w:bookmarkEnd w:id="13"/>
    </w:p>
    <w:p w:rsidR="008E04B1" w:rsidRPr="007F0A4A" w:rsidRDefault="008E04B1" w:rsidP="00D01EA9">
      <w:pPr>
        <w:pStyle w:val="Nadpis3"/>
      </w:pPr>
      <w:r>
        <w:t>Popis problému</w:t>
      </w:r>
    </w:p>
    <w:p w:rsidR="008E04B1" w:rsidRDefault="008E04B1" w:rsidP="0043441F">
      <w:pPr>
        <w:rPr>
          <w:lang w:eastAsia="cs-CZ"/>
        </w:rPr>
      </w:pPr>
      <w:r>
        <w:rPr>
          <w:lang w:eastAsia="cs-CZ"/>
        </w:rPr>
        <w:t xml:space="preserve">Modelová </w:t>
      </w:r>
      <w:r w:rsidRPr="0043441F">
        <w:rPr>
          <w:lang w:eastAsia="cs-CZ"/>
        </w:rPr>
        <w:t xml:space="preserve">smlouva </w:t>
      </w:r>
      <w:r>
        <w:rPr>
          <w:lang w:eastAsia="cs-CZ"/>
        </w:rPr>
        <w:t>a jednotlivé bilaterální daňové smlouvy obecně stanoví, že zisky podniků se zdaňují v jiném státě, než ve kterém je osoba, která jich dosáhla, rezidentem, jen pokud této osobě vznikne v tomto jiném státě stálá provozovna. Podniky se vyhýbají zdanění v zahraničí tím, že obchází smluvně nastavený koncept stálé provozovny.</w:t>
      </w:r>
    </w:p>
    <w:p w:rsidR="008E04B1" w:rsidRDefault="008E04B1" w:rsidP="0043441F">
      <w:pPr>
        <w:rPr>
          <w:lang w:eastAsia="cs-CZ"/>
        </w:rPr>
      </w:pPr>
      <w:r>
        <w:rPr>
          <w:lang w:eastAsia="cs-CZ"/>
        </w:rPr>
        <w:t>Konkrétně byly identifikovány následující okruhy problémů,</w:t>
      </w:r>
      <w:r w:rsidRPr="002B041F">
        <w:rPr>
          <w:lang w:eastAsia="cs-CZ"/>
        </w:rPr>
        <w:t xml:space="preserve"> </w:t>
      </w:r>
      <w:r w:rsidRPr="007F0A4A">
        <w:rPr>
          <w:lang w:eastAsia="cs-CZ"/>
        </w:rPr>
        <w:t>které se v praxi používají k tomu, aby stálá provozovna nevznikla</w:t>
      </w:r>
      <w:r>
        <w:rPr>
          <w:lang w:eastAsia="cs-CZ"/>
        </w:rPr>
        <w:t>:</w:t>
      </w:r>
    </w:p>
    <w:p w:rsidR="008E04B1" w:rsidRPr="007F0A4A" w:rsidRDefault="008E04B1" w:rsidP="00E4547F">
      <w:pPr>
        <w:numPr>
          <w:ilvl w:val="0"/>
          <w:numId w:val="23"/>
        </w:numPr>
        <w:rPr>
          <w:lang w:eastAsia="cs-CZ"/>
        </w:rPr>
      </w:pPr>
      <w:r>
        <w:rPr>
          <w:lang w:eastAsia="cs-CZ"/>
        </w:rPr>
        <w:t>problematika stálé provozovny vznikající z titulu činnosti zástupce (závislý, nezávislý zástupce),</w:t>
      </w:r>
    </w:p>
    <w:p w:rsidR="008E04B1" w:rsidRPr="007F0A4A" w:rsidRDefault="008E04B1" w:rsidP="00E4547F">
      <w:pPr>
        <w:numPr>
          <w:ilvl w:val="0"/>
          <w:numId w:val="23"/>
        </w:numPr>
        <w:rPr>
          <w:lang w:eastAsia="cs-CZ"/>
        </w:rPr>
      </w:pPr>
      <w:r>
        <w:rPr>
          <w:lang w:eastAsia="cs-CZ"/>
        </w:rPr>
        <w:t xml:space="preserve">problematika </w:t>
      </w:r>
      <w:r w:rsidRPr="007F0A4A">
        <w:rPr>
          <w:lang w:eastAsia="cs-CZ"/>
        </w:rPr>
        <w:t>tzv. přípravných a pomocných činností představujících výj</w:t>
      </w:r>
      <w:r>
        <w:rPr>
          <w:lang w:eastAsia="cs-CZ"/>
        </w:rPr>
        <w:t>imky pro vznik stálé provozovny (včetně tzv. fragmentace činností),</w:t>
      </w:r>
    </w:p>
    <w:p w:rsidR="008E04B1" w:rsidRPr="007F0A4A" w:rsidRDefault="008E04B1" w:rsidP="00E4547F">
      <w:pPr>
        <w:numPr>
          <w:ilvl w:val="0"/>
          <w:numId w:val="23"/>
        </w:numPr>
        <w:rPr>
          <w:lang w:eastAsia="cs-CZ"/>
        </w:rPr>
      </w:pPr>
      <w:r>
        <w:rPr>
          <w:lang w:eastAsia="cs-CZ"/>
        </w:rPr>
        <w:t xml:space="preserve">problematika </w:t>
      </w:r>
      <w:r w:rsidRPr="007F0A4A">
        <w:rPr>
          <w:lang w:eastAsia="cs-CZ"/>
        </w:rPr>
        <w:t xml:space="preserve">rozdělování kontraktů </w:t>
      </w:r>
      <w:r>
        <w:rPr>
          <w:lang w:eastAsia="cs-CZ"/>
        </w:rPr>
        <w:t>v návaznosti na smlouvou stanovené rozhodné časové testy pro vznik tzv. stavebních stálých provozoven</w:t>
      </w:r>
      <w:r w:rsidRPr="007F0A4A">
        <w:rPr>
          <w:lang w:eastAsia="cs-CZ"/>
        </w:rPr>
        <w:t>.</w:t>
      </w:r>
    </w:p>
    <w:p w:rsidR="008E04B1" w:rsidRPr="007F0A4A" w:rsidRDefault="008E04B1" w:rsidP="00D01EA9">
      <w:pPr>
        <w:pStyle w:val="Nadpis3"/>
      </w:pPr>
      <w:r>
        <w:t>Návrh řešení OECD</w:t>
      </w:r>
    </w:p>
    <w:p w:rsidR="008E04B1" w:rsidRPr="007F0A4A" w:rsidRDefault="008E04B1" w:rsidP="00D01EA9">
      <w:pPr>
        <w:rPr>
          <w:lang w:eastAsia="cs-CZ"/>
        </w:rPr>
      </w:pPr>
      <w:r w:rsidRPr="007F0A4A">
        <w:rPr>
          <w:lang w:eastAsia="cs-CZ"/>
        </w:rPr>
        <w:t xml:space="preserve">Akce 7 přináší změny do příslušných ustanovení článku 5 </w:t>
      </w:r>
      <w:r>
        <w:rPr>
          <w:lang w:eastAsia="cs-CZ"/>
        </w:rPr>
        <w:t>Modelové smlouvy</w:t>
      </w:r>
      <w:r w:rsidRPr="0043441F">
        <w:rPr>
          <w:lang w:eastAsia="cs-CZ"/>
        </w:rPr>
        <w:t xml:space="preserve"> </w:t>
      </w:r>
      <w:r w:rsidRPr="007F0A4A">
        <w:rPr>
          <w:lang w:eastAsia="cs-CZ"/>
        </w:rPr>
        <w:t>(a do komentáře k </w:t>
      </w:r>
      <w:r>
        <w:rPr>
          <w:lang w:eastAsia="cs-CZ"/>
        </w:rPr>
        <w:t>ní</w:t>
      </w:r>
      <w:r w:rsidRPr="007F0A4A">
        <w:rPr>
          <w:lang w:eastAsia="cs-CZ"/>
        </w:rPr>
        <w:t xml:space="preserve">), a to v tom smyslu, aby koncept stálé provozovny nemohl být obcházen a nedocházelo tak </w:t>
      </w:r>
      <w:r>
        <w:rPr>
          <w:lang w:eastAsia="cs-CZ"/>
        </w:rPr>
        <w:t xml:space="preserve">k </w:t>
      </w:r>
      <w:r w:rsidRPr="007F0A4A">
        <w:rPr>
          <w:lang w:eastAsia="cs-CZ"/>
        </w:rPr>
        <w:t>situacím, kdy podnik jednoho státu neplatí daně na území státu druhého, tj. na území státu, kde de facto přímo vykonává svou činnost.</w:t>
      </w:r>
    </w:p>
    <w:p w:rsidR="008E04B1" w:rsidRDefault="008E04B1" w:rsidP="00D01EA9">
      <w:pPr>
        <w:rPr>
          <w:lang w:eastAsia="cs-CZ"/>
        </w:rPr>
      </w:pPr>
      <w:r>
        <w:rPr>
          <w:lang w:eastAsia="cs-CZ"/>
        </w:rPr>
        <w:t>Akce 7 řeší tyto problémy</w:t>
      </w:r>
      <w:r w:rsidRPr="007F0A4A">
        <w:rPr>
          <w:lang w:eastAsia="cs-CZ"/>
        </w:rPr>
        <w:t xml:space="preserve"> </w:t>
      </w:r>
      <w:r>
        <w:rPr>
          <w:lang w:eastAsia="cs-CZ"/>
        </w:rPr>
        <w:t xml:space="preserve">změnou textace </w:t>
      </w:r>
      <w:r w:rsidRPr="007F0A4A">
        <w:rPr>
          <w:lang w:eastAsia="cs-CZ"/>
        </w:rPr>
        <w:t xml:space="preserve">čl. 5 odst. 4, 5 a 6 </w:t>
      </w:r>
      <w:r>
        <w:rPr>
          <w:lang w:eastAsia="cs-CZ"/>
        </w:rPr>
        <w:t xml:space="preserve">Modelové smlouvy </w:t>
      </w:r>
      <w:r w:rsidRPr="007F0A4A">
        <w:rPr>
          <w:lang w:eastAsia="cs-CZ"/>
        </w:rPr>
        <w:t xml:space="preserve">s tím, že se závěry prolínají i s jinými akcemi projektu BEPS (např. </w:t>
      </w:r>
      <w:r>
        <w:rPr>
          <w:lang w:eastAsia="cs-CZ"/>
        </w:rPr>
        <w:t xml:space="preserve">Akce 6: </w:t>
      </w:r>
      <w:r w:rsidRPr="007F0A4A">
        <w:rPr>
          <w:lang w:eastAsia="cs-CZ"/>
        </w:rPr>
        <w:t xml:space="preserve">problematika poskytování výhod ze smluv či </w:t>
      </w:r>
      <w:r>
        <w:rPr>
          <w:lang w:eastAsia="cs-CZ"/>
        </w:rPr>
        <w:t xml:space="preserve">Akce 8-9: </w:t>
      </w:r>
      <w:r w:rsidRPr="007F0A4A">
        <w:rPr>
          <w:lang w:eastAsia="cs-CZ"/>
        </w:rPr>
        <w:t>problematika převodních cen</w:t>
      </w:r>
      <w:r>
        <w:rPr>
          <w:lang w:eastAsia="cs-CZ"/>
        </w:rPr>
        <w:t xml:space="preserve"> – zde je třeba uvést, že doposud není vyřešena otázka přisuzování zisků „nově“ vznikajícím stálým provozovnám</w:t>
      </w:r>
      <w:r w:rsidRPr="007F0A4A">
        <w:rPr>
          <w:lang w:eastAsia="cs-CZ"/>
        </w:rPr>
        <w:t>).</w:t>
      </w:r>
    </w:p>
    <w:p w:rsidR="008E04B1" w:rsidRDefault="008E04B1" w:rsidP="00173A17">
      <w:pPr>
        <w:rPr>
          <w:iCs/>
        </w:rPr>
      </w:pPr>
      <w:r w:rsidRPr="006A20E3">
        <w:t>V kontextu problematiky vykonávání přípravné a pomocné činnosti se v rámci projektu BEPS velká většina zúčastněných států přihlásila k výkladu, který byl Českou republikou podporován již v minulosti</w:t>
      </w:r>
      <w:r w:rsidRPr="006A20E3">
        <w:rPr>
          <w:iCs/>
        </w:rPr>
        <w:t xml:space="preserve">, totiž, že vše, co je předmětem odstavce 4 článku 5 OECD vzorového modelu smlouvy musí naplnit charakter přípravné a pomocné činnosti, jinak danou výhodu spočívající v neexistenci stálé provozovny u takových činností, které již tuto podmínku nenaplňují, nelze uplatnit. </w:t>
      </w:r>
    </w:p>
    <w:p w:rsidR="008E04B1" w:rsidRPr="006A20E3" w:rsidRDefault="008E04B1" w:rsidP="00173A17">
      <w:r w:rsidRPr="006A20E3">
        <w:t>Dalším identifikovaným problémem je tzv. fragmentace činností, kdy se tedy celková činnost podniku rozdělí na několik dílčích aktivit, u kterých je následně individuálně proklamován pomocný a přípravný charakter.</w:t>
      </w:r>
    </w:p>
    <w:p w:rsidR="008E04B1" w:rsidRPr="006A20E3" w:rsidRDefault="008E04B1" w:rsidP="00173A17">
      <w:r w:rsidRPr="006A20E3">
        <w:t xml:space="preserve">Do </w:t>
      </w:r>
      <w:r>
        <w:t>Modelové</w:t>
      </w:r>
      <w:r w:rsidRPr="006A20E3">
        <w:t xml:space="preserve"> smlouvy tedy bude doplněno nové konkrétní pravidlo stanovující podmínky, za kterých nebude možno v tomto kontextu ustanovení odstavce 4 článku 5 smlouvy uplatňovat. </w:t>
      </w:r>
    </w:p>
    <w:p w:rsidR="008E04B1" w:rsidRPr="006A20E3" w:rsidRDefault="008E04B1" w:rsidP="00173A17">
      <w:r w:rsidRPr="006A20E3">
        <w:t>Co se týče problematiky závislé</w:t>
      </w:r>
      <w:r>
        <w:t>ho, resp. nezávislého zástupce, n</w:t>
      </w:r>
      <w:r w:rsidRPr="006A20E3">
        <w:t>avrhované změny v textu odstavců 5 a 6 článku 5 spočívají v tom, že:</w:t>
      </w:r>
    </w:p>
    <w:p w:rsidR="008E04B1" w:rsidRPr="006A20E3" w:rsidRDefault="008E04B1" w:rsidP="00173A17">
      <w:r w:rsidRPr="006A20E3">
        <w:t xml:space="preserve">a) tam bude výslovně uvedeno, že zástupce „uzavírá </w:t>
      </w:r>
      <w:r>
        <w:t>kontrakty</w:t>
      </w:r>
      <w:r w:rsidRPr="006A20E3">
        <w:t xml:space="preserve"> nebo obyčejně sehrává důležitou roli vedoucí k uzavření kontraktu, který je rutinně a bez materiálních změn akceptován podnikem,</w:t>
      </w:r>
    </w:p>
    <w:p w:rsidR="008E04B1" w:rsidRPr="006A20E3" w:rsidRDefault="008E04B1" w:rsidP="00173A17">
      <w:r w:rsidRPr="006A20E3">
        <w:lastRenderedPageBreak/>
        <w:t>b) se rozšiřuje okruh sjednávaných kontraktů i na kontrakty týkající se změny vlastnictví zboží, popř. o poskytování služeb (už tedy nepůjde pouze o kontrakty uzavírané „</w:t>
      </w:r>
      <w:r w:rsidRPr="00173A17">
        <w:t xml:space="preserve">in </w:t>
      </w:r>
      <w:proofErr w:type="spellStart"/>
      <w:r w:rsidRPr="00173A17">
        <w:t>the</w:t>
      </w:r>
      <w:proofErr w:type="spellEnd"/>
      <w:r w:rsidRPr="00173A17">
        <w:t xml:space="preserve"> </w:t>
      </w:r>
      <w:proofErr w:type="spellStart"/>
      <w:r w:rsidRPr="00173A17">
        <w:t>name</w:t>
      </w:r>
      <w:proofErr w:type="spellEnd"/>
      <w:r w:rsidRPr="00173A17">
        <w:t xml:space="preserve"> </w:t>
      </w:r>
      <w:proofErr w:type="spellStart"/>
      <w:r w:rsidRPr="00173A17">
        <w:t>of</w:t>
      </w:r>
      <w:proofErr w:type="spellEnd"/>
      <w:r w:rsidRPr="00173A17">
        <w:t xml:space="preserve"> </w:t>
      </w:r>
      <w:proofErr w:type="spellStart"/>
      <w:r w:rsidRPr="00173A17">
        <w:t>the</w:t>
      </w:r>
      <w:proofErr w:type="spellEnd"/>
      <w:r w:rsidRPr="00173A17">
        <w:t xml:space="preserve"> </w:t>
      </w:r>
      <w:proofErr w:type="spellStart"/>
      <w:r w:rsidRPr="00173A17">
        <w:t>enterprise</w:t>
      </w:r>
      <w:proofErr w:type="spellEnd"/>
      <w:r w:rsidRPr="006A20E3">
        <w:t>“) a</w:t>
      </w:r>
    </w:p>
    <w:p w:rsidR="008E04B1" w:rsidRPr="006A20E3" w:rsidRDefault="008E04B1" w:rsidP="00173A17">
      <w:r w:rsidRPr="006A20E3">
        <w:t>c) se zmíní, že zástupce není nezávislým, pokud jedná výlučně nebo téměř výlučně ve prospěch „</w:t>
      </w:r>
      <w:proofErr w:type="spellStart"/>
      <w:r w:rsidRPr="00173A17">
        <w:t>closely</w:t>
      </w:r>
      <w:proofErr w:type="spellEnd"/>
      <w:r w:rsidRPr="00173A17">
        <w:t xml:space="preserve"> </w:t>
      </w:r>
      <w:proofErr w:type="spellStart"/>
      <w:r w:rsidRPr="00173A17">
        <w:t>related</w:t>
      </w:r>
      <w:proofErr w:type="spellEnd"/>
      <w:r w:rsidRPr="006A20E3">
        <w:t>“ podniku.</w:t>
      </w:r>
    </w:p>
    <w:p w:rsidR="008E04B1" w:rsidRPr="007F0A4A" w:rsidRDefault="008E04B1" w:rsidP="007A2306">
      <w:pPr>
        <w:pStyle w:val="Nadpis3"/>
      </w:pPr>
      <w:r>
        <w:t>Aplikace v ČR</w:t>
      </w:r>
    </w:p>
    <w:p w:rsidR="008E04B1" w:rsidRDefault="008E04B1" w:rsidP="00173A17">
      <w:r>
        <w:t>Z</w:t>
      </w:r>
      <w:r w:rsidRPr="006A20E3">
        <w:t xml:space="preserve">měny </w:t>
      </w:r>
      <w:r>
        <w:t xml:space="preserve">spočívající v úpravách problematiky pomocných a přípravných činností </w:t>
      </w:r>
      <w:r w:rsidRPr="006A20E3">
        <w:t>by se neměly jakýmkoliv způsobem promítnout do textu vnitrostátního zákona č. 586/1</w:t>
      </w:r>
      <w:r>
        <w:t>9</w:t>
      </w:r>
      <w:r w:rsidRPr="006A20E3">
        <w:t>92 Sb., o daních z příjmů, v platném znění, neboť tento zákon nikterak s konceptem pomocných a přípravných činností nepracuje.</w:t>
      </w:r>
    </w:p>
    <w:p w:rsidR="008E04B1" w:rsidRDefault="008E04B1" w:rsidP="007A2306">
      <w:r w:rsidRPr="006A20E3">
        <w:t xml:space="preserve">Pokud jde o dopady </w:t>
      </w:r>
      <w:r>
        <w:t xml:space="preserve">akce č. 7 </w:t>
      </w:r>
      <w:r w:rsidRPr="006A20E3">
        <w:t>na znění vnitrostátního zákona o daních z příjmů, bude s největší pravděpodobností nutné v souvislosti s problematikou činnosti zástupců poupravit text poslední věty jeho ustanovení § 22 odst. 2, aby byla v souladu s nově navrhovaným přístupem podle mezinárodních s</w:t>
      </w:r>
      <w:r>
        <w:t>mluv o zamezení dvojímu zdanění.</w:t>
      </w:r>
    </w:p>
    <w:p w:rsidR="008E04B1" w:rsidRPr="007F0A4A" w:rsidRDefault="008E04B1" w:rsidP="00D01EA9">
      <w:pPr>
        <w:pStyle w:val="Nadpis3"/>
        <w:rPr>
          <w:sz w:val="72"/>
          <w:szCs w:val="72"/>
        </w:rPr>
      </w:pPr>
      <w:r>
        <w:t>Předpoklad realizace</w:t>
      </w:r>
    </w:p>
    <w:p w:rsidR="008E04B1" w:rsidRPr="006A20E3" w:rsidRDefault="008E04B1" w:rsidP="007A2306">
      <w:r w:rsidRPr="006A20E3">
        <w:t>Případné změny v textu samotných smluv o zamezení dvojímu zdanění se budou odvíjet vždy od ochoty a připravenosti dvou smluvních států takovýmto způsobem tuto část smlouvy upravit</w:t>
      </w:r>
      <w:r>
        <w:t>, a to i v kontextu Akce 15</w:t>
      </w:r>
      <w:r w:rsidRPr="006A20E3">
        <w:t>.</w:t>
      </w:r>
      <w:r>
        <w:t xml:space="preserve"> Je třeba v této souvislosti uvést, že ne všechny státy se k dosaženým závěrům hlásí a problematiku tak vykládají jiným způsobem. Za tím účelem by v komentáři k článku 5 OECD vzorové smlouvy měly být zmíněny alternativní ustanovení.</w:t>
      </w:r>
    </w:p>
    <w:p w:rsidR="008E04B1" w:rsidRDefault="008E04B1" w:rsidP="00AA3838"/>
    <w:p w:rsidR="008E04B1" w:rsidRDefault="008E04B1" w:rsidP="00AA3838"/>
    <w:p w:rsidR="008E04B1" w:rsidRPr="007F0A4A" w:rsidRDefault="008E04B1" w:rsidP="005A37BD">
      <w:pPr>
        <w:rPr>
          <w:lang w:eastAsia="cs-CZ"/>
        </w:rPr>
      </w:pPr>
    </w:p>
    <w:p w:rsidR="008E04B1" w:rsidRPr="007F0A4A" w:rsidRDefault="008E04B1" w:rsidP="005A37BD">
      <w:pPr>
        <w:pStyle w:val="Nadpis2"/>
        <w:spacing w:before="120"/>
      </w:pPr>
      <w:bookmarkStart w:id="14" w:name="_Toc448736163"/>
      <w:r w:rsidRPr="007F0A4A">
        <w:lastRenderedPageBreak/>
        <w:t>Akce 8-10: Přizpůsobení převodních cen ekonomické aktivitě</w:t>
      </w:r>
      <w:bookmarkEnd w:id="14"/>
    </w:p>
    <w:p w:rsidR="008E04B1" w:rsidRPr="007F0A4A" w:rsidRDefault="008E04B1" w:rsidP="00F97C4E">
      <w:pPr>
        <w:pStyle w:val="Nadpis3"/>
      </w:pPr>
      <w:r>
        <w:t>Popis problému</w:t>
      </w:r>
    </w:p>
    <w:p w:rsidR="008E04B1" w:rsidRDefault="008E04B1" w:rsidP="00F97C4E">
      <w:pPr>
        <w:rPr>
          <w:lang w:eastAsia="cs-CZ"/>
        </w:rPr>
      </w:pPr>
      <w:r>
        <w:rPr>
          <w:lang w:eastAsia="cs-CZ"/>
        </w:rPr>
        <w:t>Cílem nastavení převodních cen dle principu tržního odstupu je nastavení takové ceny dané transakce mezi dvěma spojenými osobami, která by byla shodná s cenou v případě, že by transakce proběhla mezi dvěma nespojenými osobami. Při správném nastavení převodních cen dojde rovněž ke správnému rozdělení zisku mezi oba účastníky transakce a tudíž správnému rozdělení daňového základu mezi státy, kde jsou tito dva účastníci rezidentní.</w:t>
      </w:r>
    </w:p>
    <w:p w:rsidR="008E04B1" w:rsidRDefault="008E04B1" w:rsidP="00F97C4E">
      <w:pPr>
        <w:rPr>
          <w:lang w:eastAsia="cs-CZ"/>
        </w:rPr>
      </w:pPr>
      <w:r>
        <w:rPr>
          <w:lang w:eastAsia="cs-CZ"/>
        </w:rPr>
        <w:t xml:space="preserve">U určitého typu transakcí je však aplikace principu tržního odstupu velmi obtížná, ne-li téměř nemožná a společnosti mohou obcházením tohoto principu dosáhnout přesouvání zisků </w:t>
      </w:r>
      <w:proofErr w:type="gramStart"/>
      <w:r>
        <w:rPr>
          <w:lang w:eastAsia="cs-CZ"/>
        </w:rPr>
        <w:t>ze</w:t>
      </w:r>
      <w:proofErr w:type="gramEnd"/>
      <w:r>
        <w:rPr>
          <w:lang w:eastAsia="cs-CZ"/>
        </w:rPr>
        <w:t xml:space="preserve"> jednoho státu do druhého. S tím souvisí i to, že prokázání správného nastavení principu tržního odstupu je administrativně značně náročné.</w:t>
      </w:r>
    </w:p>
    <w:p w:rsidR="008E04B1" w:rsidRDefault="008E04B1" w:rsidP="00F97C4E">
      <w:pPr>
        <w:rPr>
          <w:lang w:eastAsia="cs-CZ"/>
        </w:rPr>
      </w:pPr>
      <w:r>
        <w:rPr>
          <w:lang w:eastAsia="cs-CZ"/>
        </w:rPr>
        <w:t>Transakce, kde bylo identifikováno větší riziko nesprávného nastavení principu tržního odstupu, zahrnují:</w:t>
      </w:r>
    </w:p>
    <w:p w:rsidR="008E04B1" w:rsidRDefault="008E04B1" w:rsidP="00EE25C6">
      <w:pPr>
        <w:numPr>
          <w:ilvl w:val="0"/>
          <w:numId w:val="27"/>
        </w:numPr>
        <w:rPr>
          <w:lang w:eastAsia="cs-CZ"/>
        </w:rPr>
      </w:pPr>
      <w:r>
        <w:rPr>
          <w:lang w:eastAsia="cs-CZ"/>
        </w:rPr>
        <w:t>transfer nehmotného majetku (Akce 8),</w:t>
      </w:r>
    </w:p>
    <w:p w:rsidR="008E04B1" w:rsidRDefault="008E04B1" w:rsidP="00EE25C6">
      <w:pPr>
        <w:numPr>
          <w:ilvl w:val="0"/>
          <w:numId w:val="27"/>
        </w:numPr>
        <w:rPr>
          <w:lang w:eastAsia="cs-CZ"/>
        </w:rPr>
      </w:pPr>
      <w:r>
        <w:rPr>
          <w:lang w:eastAsia="cs-CZ"/>
        </w:rPr>
        <w:t>transfer rizika (Akce 9),</w:t>
      </w:r>
    </w:p>
    <w:p w:rsidR="008E04B1" w:rsidRDefault="008E04B1" w:rsidP="00EE25C6">
      <w:pPr>
        <w:numPr>
          <w:ilvl w:val="0"/>
          <w:numId w:val="27"/>
        </w:numPr>
        <w:rPr>
          <w:lang w:eastAsia="cs-CZ"/>
        </w:rPr>
      </w:pPr>
      <w:r>
        <w:rPr>
          <w:lang w:eastAsia="cs-CZ"/>
        </w:rPr>
        <w:t>transakce, které z pohledu jednotlivých účastníků transakce nejsou ekonomicky racionální, ale mohou být ekonomicky racionální z pohledu celé skupiny (Akce 10).</w:t>
      </w:r>
    </w:p>
    <w:p w:rsidR="008E04B1" w:rsidRDefault="008E04B1" w:rsidP="00EE25C6">
      <w:pPr>
        <w:rPr>
          <w:lang w:eastAsia="cs-CZ"/>
        </w:rPr>
      </w:pPr>
      <w:r>
        <w:rPr>
          <w:lang w:eastAsia="cs-CZ"/>
        </w:rPr>
        <w:t xml:space="preserve">Akce 10 se dále zaměřila i na techniky používané k manipulaci převodních cen za účelem odklonění zisků z nejvíce ziskových aktivit dané skupiny a na poplatky za správu (management </w:t>
      </w:r>
      <w:proofErr w:type="spellStart"/>
      <w:r>
        <w:rPr>
          <w:lang w:eastAsia="cs-CZ"/>
        </w:rPr>
        <w:t>fee</w:t>
      </w:r>
      <w:proofErr w:type="spellEnd"/>
      <w:r>
        <w:rPr>
          <w:lang w:eastAsia="cs-CZ"/>
        </w:rPr>
        <w:t>) a náklady na vrcholové vedení (</w:t>
      </w:r>
      <w:proofErr w:type="spellStart"/>
      <w:r>
        <w:rPr>
          <w:lang w:eastAsia="cs-CZ"/>
        </w:rPr>
        <w:t>head-office</w:t>
      </w:r>
      <w:proofErr w:type="spellEnd"/>
      <w:r>
        <w:rPr>
          <w:lang w:eastAsia="cs-CZ"/>
        </w:rPr>
        <w:t xml:space="preserve"> </w:t>
      </w:r>
      <w:proofErr w:type="spellStart"/>
      <w:r>
        <w:rPr>
          <w:lang w:eastAsia="cs-CZ"/>
        </w:rPr>
        <w:t>expenses</w:t>
      </w:r>
      <w:proofErr w:type="spellEnd"/>
      <w:r>
        <w:rPr>
          <w:lang w:eastAsia="cs-CZ"/>
        </w:rPr>
        <w:t>).</w:t>
      </w:r>
    </w:p>
    <w:p w:rsidR="008E04B1" w:rsidRPr="007F0A4A" w:rsidRDefault="008E04B1" w:rsidP="00F97C4E">
      <w:pPr>
        <w:pStyle w:val="Nadpis3"/>
      </w:pPr>
      <w:r>
        <w:t>Návrh řešení OECD</w:t>
      </w:r>
    </w:p>
    <w:p w:rsidR="008E04B1" w:rsidRDefault="008E04B1" w:rsidP="00F97C4E">
      <w:pPr>
        <w:rPr>
          <w:lang w:eastAsia="cs-CZ"/>
        </w:rPr>
      </w:pPr>
      <w:r>
        <w:rPr>
          <w:lang w:eastAsia="cs-CZ"/>
        </w:rPr>
        <w:t>Akce 8-10 přinášejí konkrétní úpravy Pokynů OECD</w:t>
      </w:r>
      <w:r w:rsidRPr="0008242A">
        <w:rPr>
          <w:lang w:eastAsia="cs-CZ"/>
        </w:rPr>
        <w:t xml:space="preserve"> pro vnitropodnikové oceňování pro nadnárodní společnosti a daňové správy</w:t>
      </w:r>
      <w:r>
        <w:rPr>
          <w:lang w:eastAsia="cs-CZ"/>
        </w:rPr>
        <w:t xml:space="preserve"> (OECD Transfer </w:t>
      </w:r>
      <w:proofErr w:type="spellStart"/>
      <w:r>
        <w:rPr>
          <w:lang w:eastAsia="cs-CZ"/>
        </w:rPr>
        <w:t>Pricing</w:t>
      </w:r>
      <w:proofErr w:type="spellEnd"/>
      <w:r>
        <w:rPr>
          <w:lang w:eastAsia="cs-CZ"/>
        </w:rPr>
        <w:t xml:space="preserve"> </w:t>
      </w:r>
      <w:proofErr w:type="spellStart"/>
      <w:r>
        <w:rPr>
          <w:lang w:eastAsia="cs-CZ"/>
        </w:rPr>
        <w:t>Guidelines</w:t>
      </w:r>
      <w:proofErr w:type="spellEnd"/>
      <w:r>
        <w:rPr>
          <w:lang w:eastAsia="cs-CZ"/>
        </w:rPr>
        <w:t>). Mezi výsledky těchto úprav lze uvést:</w:t>
      </w:r>
    </w:p>
    <w:p w:rsidR="008E04B1" w:rsidRDefault="008E04B1" w:rsidP="00F97C4E">
      <w:pPr>
        <w:numPr>
          <w:ilvl w:val="0"/>
          <w:numId w:val="28"/>
        </w:numPr>
        <w:rPr>
          <w:lang w:eastAsia="cs-CZ"/>
        </w:rPr>
      </w:pPr>
      <w:r>
        <w:rPr>
          <w:lang w:eastAsia="cs-CZ"/>
        </w:rPr>
        <w:t>bude kladen větší důraz na skutečně vykonávané ekonomické aktivity a méně na smluvní uspořádání mezi účastníky transakce,</w:t>
      </w:r>
    </w:p>
    <w:p w:rsidR="008E04B1" w:rsidRDefault="008E04B1" w:rsidP="00F97C4E">
      <w:pPr>
        <w:numPr>
          <w:ilvl w:val="0"/>
          <w:numId w:val="28"/>
        </w:numPr>
        <w:rPr>
          <w:lang w:eastAsia="cs-CZ"/>
        </w:rPr>
      </w:pPr>
      <w:r>
        <w:rPr>
          <w:lang w:eastAsia="cs-CZ"/>
        </w:rPr>
        <w:t>smluvní převod rizika bude daňově relevantní pouze, pokud bude zahrnovat skutečné provádění rozhodovacích procesů,</w:t>
      </w:r>
    </w:p>
    <w:p w:rsidR="008E04B1" w:rsidRDefault="008E04B1" w:rsidP="00F97C4E">
      <w:pPr>
        <w:numPr>
          <w:ilvl w:val="0"/>
          <w:numId w:val="28"/>
        </w:numPr>
        <w:rPr>
          <w:lang w:eastAsia="cs-CZ"/>
        </w:rPr>
      </w:pPr>
      <w:r>
        <w:rPr>
          <w:lang w:eastAsia="cs-CZ"/>
        </w:rPr>
        <w:t xml:space="preserve">entitám bohatým na kapitál, které nevykonávají žádné skutečné ekonomické aktivity (jako např. cash </w:t>
      </w:r>
      <w:proofErr w:type="spellStart"/>
      <w:r>
        <w:rPr>
          <w:lang w:eastAsia="cs-CZ"/>
        </w:rPr>
        <w:t>boxes</w:t>
      </w:r>
      <w:proofErr w:type="spellEnd"/>
      <w:r>
        <w:rPr>
          <w:lang w:eastAsia="cs-CZ"/>
        </w:rPr>
        <w:t>), bude možno přiřadit pouze malou část zisku, v podstatě odpovídající bezrizikové úrokové sazbě.</w:t>
      </w:r>
    </w:p>
    <w:p w:rsidR="008E04B1" w:rsidRPr="007F0A4A" w:rsidRDefault="008E04B1" w:rsidP="00F97C4E">
      <w:pPr>
        <w:pStyle w:val="Nadpis3"/>
      </w:pPr>
      <w:r>
        <w:t>Aplikace v ČR</w:t>
      </w:r>
    </w:p>
    <w:p w:rsidR="008E04B1" w:rsidRDefault="008E04B1" w:rsidP="0008242A">
      <w:pPr>
        <w:rPr>
          <w:lang w:eastAsia="cs-CZ"/>
        </w:rPr>
      </w:pPr>
      <w:r>
        <w:rPr>
          <w:lang w:eastAsia="cs-CZ"/>
        </w:rPr>
        <w:t>Pokyny OECD</w:t>
      </w:r>
      <w:r w:rsidRPr="0008242A">
        <w:rPr>
          <w:lang w:eastAsia="cs-CZ"/>
        </w:rPr>
        <w:t xml:space="preserve"> pro vnitropodnikové oceňování</w:t>
      </w:r>
      <w:r>
        <w:rPr>
          <w:lang w:eastAsia="cs-CZ"/>
        </w:rPr>
        <w:t xml:space="preserve"> jsou v ČR přímo aplikovány do správní praxe daňové správy prostřednictvím obecného ustanovení o převodních cenách mezi spojenými osobami obsaženého v zákoně o daních z příjmů.</w:t>
      </w:r>
    </w:p>
    <w:p w:rsidR="008E04B1" w:rsidRPr="007F0A4A" w:rsidRDefault="008E04B1" w:rsidP="00F97C4E">
      <w:pPr>
        <w:pStyle w:val="Nadpis3"/>
      </w:pPr>
      <w:r>
        <w:t>Předpoklad realizace</w:t>
      </w:r>
    </w:p>
    <w:p w:rsidR="008E04B1" w:rsidRPr="007F0A4A" w:rsidRDefault="00EB15D6" w:rsidP="005A37BD">
      <w:pPr>
        <w:rPr>
          <w:lang w:eastAsia="cs-CZ"/>
        </w:rPr>
      </w:pPr>
      <w:r>
        <w:rPr>
          <w:lang w:eastAsia="cs-CZ"/>
        </w:rPr>
        <w:t xml:space="preserve">Při novelizaci TP </w:t>
      </w:r>
      <w:proofErr w:type="spellStart"/>
      <w:r>
        <w:rPr>
          <w:lang w:eastAsia="cs-CZ"/>
        </w:rPr>
        <w:t>Guidelines</w:t>
      </w:r>
      <w:proofErr w:type="spellEnd"/>
      <w:r>
        <w:rPr>
          <w:lang w:eastAsia="cs-CZ"/>
        </w:rPr>
        <w:t>.</w:t>
      </w:r>
    </w:p>
    <w:p w:rsidR="008E04B1" w:rsidRPr="007F0A4A" w:rsidRDefault="008E04B1" w:rsidP="005A37BD">
      <w:pPr>
        <w:pStyle w:val="Nadpis2"/>
        <w:spacing w:before="120"/>
      </w:pPr>
      <w:bookmarkStart w:id="15" w:name="_Toc448736164"/>
      <w:r w:rsidRPr="007F0A4A">
        <w:lastRenderedPageBreak/>
        <w:t>Akce 12: Povinné oznamování daňově optimalizačních schémat</w:t>
      </w:r>
      <w:bookmarkEnd w:id="15"/>
    </w:p>
    <w:p w:rsidR="008E04B1" w:rsidRPr="007F0A4A" w:rsidRDefault="008E04B1" w:rsidP="00076487">
      <w:pPr>
        <w:pStyle w:val="Nadpis3"/>
      </w:pPr>
      <w:r>
        <w:t>Popis problému</w:t>
      </w:r>
    </w:p>
    <w:p w:rsidR="008E04B1" w:rsidRDefault="008E04B1" w:rsidP="00076487">
      <w:pPr>
        <w:rPr>
          <w:lang w:eastAsia="cs-CZ"/>
        </w:rPr>
      </w:pPr>
      <w:r>
        <w:rPr>
          <w:lang w:eastAsia="cs-CZ"/>
        </w:rPr>
        <w:t>Společnosti využívají řady daňově optimalizačních schémat, kterými se zabývají Akce BEPS 1 až 10. Daňové správy se o nich často dovědí pozdě na to, aby bylo možno na ně adekvátně zareagovat nastavením vhodného systému analýzy rizika, výběru subjektů ke kontrole nebo iniciaci legislativních změn.</w:t>
      </w:r>
    </w:p>
    <w:p w:rsidR="008E04B1" w:rsidRPr="007F0A4A" w:rsidRDefault="008E04B1" w:rsidP="00076487">
      <w:pPr>
        <w:pStyle w:val="Nadpis3"/>
      </w:pPr>
      <w:r>
        <w:t>Návrh řešení OECD</w:t>
      </w:r>
    </w:p>
    <w:p w:rsidR="008E04B1" w:rsidRDefault="008E04B1" w:rsidP="00076487">
      <w:pPr>
        <w:rPr>
          <w:lang w:eastAsia="cs-CZ"/>
        </w:rPr>
      </w:pPr>
      <w:r>
        <w:rPr>
          <w:lang w:eastAsia="cs-CZ"/>
        </w:rPr>
        <w:t xml:space="preserve">Akce 12 analyzuje nejlepší zkušenosti států, které mají povinné oznamování </w:t>
      </w:r>
      <w:r w:rsidRPr="00E51423">
        <w:rPr>
          <w:lang w:eastAsia="cs-CZ"/>
        </w:rPr>
        <w:t>daňově optimalizačních schémat</w:t>
      </w:r>
      <w:r>
        <w:rPr>
          <w:lang w:eastAsia="cs-CZ"/>
        </w:rPr>
        <w:t xml:space="preserve"> zavedeno, a poskytuje vodítko, jak takový institut efektivně zavést ve státech, které ho nemají.</w:t>
      </w:r>
    </w:p>
    <w:p w:rsidR="008E04B1" w:rsidRDefault="008E04B1" w:rsidP="00076487">
      <w:pPr>
        <w:rPr>
          <w:lang w:eastAsia="cs-CZ"/>
        </w:rPr>
      </w:pPr>
      <w:r>
        <w:rPr>
          <w:lang w:eastAsia="cs-CZ"/>
        </w:rPr>
        <w:t>Zpráva uvádí následující klíčové prvky efektivního nastavení pravidel pro povinné oznamování daňové optimalizačních schémat:</w:t>
      </w:r>
    </w:p>
    <w:p w:rsidR="008E04B1" w:rsidRDefault="008E04B1" w:rsidP="008A6598">
      <w:pPr>
        <w:numPr>
          <w:ilvl w:val="0"/>
          <w:numId w:val="29"/>
        </w:numPr>
        <w:rPr>
          <w:lang w:eastAsia="cs-CZ"/>
        </w:rPr>
      </w:pPr>
      <w:r>
        <w:rPr>
          <w:lang w:eastAsia="cs-CZ"/>
        </w:rPr>
        <w:t>Povinnost oznamovat daňově optimalizační schémata by měla být uložena jak daňovým poradcům, tak poplatníkům, pokud k jejich nastavení nevyužívají daňové poradce.</w:t>
      </w:r>
    </w:p>
    <w:p w:rsidR="008E04B1" w:rsidRDefault="008E04B1" w:rsidP="008A6598">
      <w:pPr>
        <w:numPr>
          <w:ilvl w:val="0"/>
          <w:numId w:val="29"/>
        </w:numPr>
        <w:rPr>
          <w:lang w:eastAsia="cs-CZ"/>
        </w:rPr>
      </w:pPr>
      <w:r>
        <w:rPr>
          <w:lang w:eastAsia="cs-CZ"/>
        </w:rPr>
        <w:t>Schémata, která mají být oznamována, jsou definována pomocí jednotlivých rysů. Jedná se jednak o obecné rysy:</w:t>
      </w:r>
    </w:p>
    <w:p w:rsidR="008E04B1" w:rsidRDefault="008E04B1" w:rsidP="004A623D">
      <w:pPr>
        <w:numPr>
          <w:ilvl w:val="1"/>
          <w:numId w:val="29"/>
        </w:numPr>
        <w:rPr>
          <w:lang w:eastAsia="cs-CZ"/>
        </w:rPr>
      </w:pPr>
      <w:r>
        <w:rPr>
          <w:lang w:eastAsia="cs-CZ"/>
        </w:rPr>
        <w:t>důvěrnost, kdy daňový poradce požaduje, aby dané schéma jeho klient nepředával dalším klientům,</w:t>
      </w:r>
    </w:p>
    <w:p w:rsidR="008E04B1" w:rsidRDefault="008E04B1" w:rsidP="004A623D">
      <w:pPr>
        <w:numPr>
          <w:ilvl w:val="1"/>
          <w:numId w:val="29"/>
        </w:numPr>
        <w:rPr>
          <w:lang w:eastAsia="cs-CZ"/>
        </w:rPr>
      </w:pPr>
      <w:r>
        <w:rPr>
          <w:lang w:eastAsia="cs-CZ"/>
        </w:rPr>
        <w:t>platba závislá na dosažené daňové úspoře.</w:t>
      </w:r>
    </w:p>
    <w:p w:rsidR="008E04B1" w:rsidRDefault="008E04B1" w:rsidP="00594557">
      <w:pPr>
        <w:numPr>
          <w:ilvl w:val="0"/>
          <w:numId w:val="29"/>
        </w:numPr>
        <w:rPr>
          <w:lang w:eastAsia="cs-CZ"/>
        </w:rPr>
      </w:pPr>
      <w:r>
        <w:rPr>
          <w:lang w:eastAsia="cs-CZ"/>
        </w:rPr>
        <w:t>A dále o konkrétní rysy reagující na nástroje</w:t>
      </w:r>
      <w:r w:rsidRPr="00594557">
        <w:rPr>
          <w:lang w:eastAsia="cs-CZ"/>
        </w:rPr>
        <w:t xml:space="preserve"> </w:t>
      </w:r>
      <w:r>
        <w:rPr>
          <w:lang w:eastAsia="cs-CZ"/>
        </w:rPr>
        <w:t>nejčastěji využívané k daňové optimalizaci, jako např.:</w:t>
      </w:r>
    </w:p>
    <w:p w:rsidR="008E04B1" w:rsidRDefault="008E04B1" w:rsidP="004A623D">
      <w:pPr>
        <w:numPr>
          <w:ilvl w:val="1"/>
          <w:numId w:val="29"/>
        </w:numPr>
        <w:rPr>
          <w:lang w:eastAsia="cs-CZ"/>
        </w:rPr>
      </w:pPr>
      <w:r>
        <w:rPr>
          <w:lang w:eastAsia="cs-CZ"/>
        </w:rPr>
        <w:t>cílem schématu je převod ekonomických hodnot, které zahrnují kumulovanou ztrátu z předchozích let, či nevyužité odpočitatelné položky či slevy na dani,</w:t>
      </w:r>
    </w:p>
    <w:p w:rsidR="008E04B1" w:rsidRDefault="008E04B1" w:rsidP="004A623D">
      <w:pPr>
        <w:numPr>
          <w:ilvl w:val="1"/>
          <w:numId w:val="29"/>
        </w:numPr>
        <w:rPr>
          <w:lang w:eastAsia="cs-CZ"/>
        </w:rPr>
      </w:pPr>
      <w:r>
        <w:rPr>
          <w:lang w:eastAsia="cs-CZ"/>
        </w:rPr>
        <w:t xml:space="preserve"> pronájem výrobního závodu či zařízení vysoké hodnoty na dobu kratší než dva roky, pokud současně transakce zahrnuje osobu, která není poplatníkem daně z příjmů právnických osob a pronajímatel realizuje žádný nebo jen malý zisk,</w:t>
      </w:r>
    </w:p>
    <w:p w:rsidR="008E04B1" w:rsidRDefault="008E04B1" w:rsidP="004A623D">
      <w:pPr>
        <w:numPr>
          <w:ilvl w:val="1"/>
          <w:numId w:val="29"/>
        </w:numPr>
        <w:rPr>
          <w:lang w:eastAsia="cs-CZ"/>
        </w:rPr>
      </w:pPr>
      <w:r>
        <w:rPr>
          <w:lang w:eastAsia="cs-CZ"/>
        </w:rPr>
        <w:t>použití penzijních či obdobných fondů k obejití daně z mezd,</w:t>
      </w:r>
    </w:p>
    <w:p w:rsidR="008E04B1" w:rsidRDefault="008E04B1" w:rsidP="004A623D">
      <w:pPr>
        <w:numPr>
          <w:ilvl w:val="1"/>
          <w:numId w:val="29"/>
        </w:numPr>
        <w:rPr>
          <w:lang w:eastAsia="cs-CZ"/>
        </w:rPr>
      </w:pPr>
      <w:r>
        <w:rPr>
          <w:lang w:eastAsia="cs-CZ"/>
        </w:rPr>
        <w:t>schéma, které změní běžný příjem na kapitálový příjem, který je zdaněn méně než běžný příjem, či nepodléhá pojistnému,</w:t>
      </w:r>
    </w:p>
    <w:p w:rsidR="008E04B1" w:rsidRDefault="008E04B1" w:rsidP="004A623D">
      <w:pPr>
        <w:numPr>
          <w:ilvl w:val="1"/>
          <w:numId w:val="29"/>
        </w:numPr>
        <w:rPr>
          <w:lang w:eastAsia="cs-CZ"/>
        </w:rPr>
      </w:pPr>
      <w:r>
        <w:rPr>
          <w:lang w:eastAsia="cs-CZ"/>
        </w:rPr>
        <w:t>použití hybridních schémat využívajících nesoulady mezi daňovými systémy dvou či více států,</w:t>
      </w:r>
    </w:p>
    <w:p w:rsidR="008E04B1" w:rsidRDefault="008E04B1" w:rsidP="004A623D">
      <w:pPr>
        <w:numPr>
          <w:ilvl w:val="1"/>
          <w:numId w:val="29"/>
        </w:numPr>
        <w:rPr>
          <w:lang w:eastAsia="cs-CZ"/>
        </w:rPr>
      </w:pPr>
      <w:r>
        <w:rPr>
          <w:lang w:eastAsia="cs-CZ"/>
        </w:rPr>
        <w:t>transakce s velkým rozdílem mezi daňovým a účetním zachycením.</w:t>
      </w:r>
    </w:p>
    <w:p w:rsidR="008E04B1" w:rsidRDefault="008E04B1" w:rsidP="008A6598">
      <w:pPr>
        <w:numPr>
          <w:ilvl w:val="0"/>
          <w:numId w:val="29"/>
        </w:numPr>
        <w:rPr>
          <w:lang w:eastAsia="cs-CZ"/>
        </w:rPr>
      </w:pPr>
      <w:r>
        <w:rPr>
          <w:lang w:eastAsia="cs-CZ"/>
        </w:rPr>
        <w:t>Většího efektu se dosáhne, pokud se oznámená daňově optimalizační schémata propojí s konkrétními poplatníky, tj. v případě schémat oznamovaných daňovými poradci je vhodné požadovat i seznam poplatníků, kteří tato schémata využili.</w:t>
      </w:r>
    </w:p>
    <w:p w:rsidR="008E04B1" w:rsidRDefault="008E04B1" w:rsidP="008A6598">
      <w:pPr>
        <w:numPr>
          <w:ilvl w:val="0"/>
          <w:numId w:val="29"/>
        </w:numPr>
        <w:rPr>
          <w:lang w:eastAsia="cs-CZ"/>
        </w:rPr>
      </w:pPr>
      <w:r>
        <w:rPr>
          <w:lang w:eastAsia="cs-CZ"/>
        </w:rPr>
        <w:t>Pokud schéma oznamuje daňový poradce, mělo by být oznámeno v okamžiku, kdy je předáno jeho klientům, pokud schéma oznamuje poplatník, mělo by být oznámeno v okamžiku, kdy začne být skutečně využíváno.</w:t>
      </w:r>
    </w:p>
    <w:p w:rsidR="008E04B1" w:rsidRPr="007F0A4A" w:rsidRDefault="008E04B1" w:rsidP="00076487">
      <w:pPr>
        <w:numPr>
          <w:ilvl w:val="0"/>
          <w:numId w:val="29"/>
        </w:numPr>
        <w:rPr>
          <w:lang w:eastAsia="cs-CZ"/>
        </w:rPr>
      </w:pPr>
      <w:r>
        <w:rPr>
          <w:lang w:eastAsia="cs-CZ"/>
        </w:rPr>
        <w:lastRenderedPageBreak/>
        <w:t>Nastavení adekvátního systému pokud (včetně nepeněžních) v případě nesplnění povinnosti oznámit schéma.</w:t>
      </w:r>
    </w:p>
    <w:p w:rsidR="008E04B1" w:rsidRPr="007F0A4A" w:rsidRDefault="008E04B1" w:rsidP="00076487">
      <w:pPr>
        <w:pStyle w:val="Nadpis3"/>
      </w:pPr>
      <w:r>
        <w:t>Aplikace v ČR</w:t>
      </w:r>
    </w:p>
    <w:p w:rsidR="008E04B1" w:rsidRDefault="008E04B1" w:rsidP="00076487">
      <w:pPr>
        <w:rPr>
          <w:lang w:eastAsia="cs-CZ"/>
        </w:rPr>
      </w:pPr>
      <w:r>
        <w:rPr>
          <w:lang w:eastAsia="cs-CZ"/>
        </w:rPr>
        <w:t>Zavedení povinného oznamování optimalizačních schémat by vyžadovalo novelizaci daňového řádu, která by takovou povinnost daňovým poplatníkům uložila.</w:t>
      </w:r>
    </w:p>
    <w:p w:rsidR="008E04B1" w:rsidRDefault="008E04B1" w:rsidP="00076487">
      <w:pPr>
        <w:rPr>
          <w:lang w:eastAsia="cs-CZ"/>
        </w:rPr>
      </w:pPr>
      <w:r>
        <w:rPr>
          <w:lang w:eastAsia="cs-CZ"/>
        </w:rPr>
        <w:t>Mezi pozitiva lze uvést, že daňová správa by získala dříve než nyní informace o schématech, která poplatníci používají ke snížení daňové povinnosti a mohla by tak na ně včas adekvátně reagovat, případně ve spolupráci s Ministerstvem financí iniciovat změnu daňové legislativy, která by použití takových daňových schémat zamezila. Lze tedy očekávat, že by uvedená změna měla v dlouhém období pozitivní dopad na inkaso, který ale není možné přímo změřit či odhadnout.</w:t>
      </w:r>
    </w:p>
    <w:p w:rsidR="008E04B1" w:rsidRDefault="008E04B1" w:rsidP="00076487">
      <w:pPr>
        <w:rPr>
          <w:lang w:eastAsia="cs-CZ"/>
        </w:rPr>
      </w:pPr>
      <w:r>
        <w:rPr>
          <w:lang w:eastAsia="cs-CZ"/>
        </w:rPr>
        <w:t>Některé motivace k vytváření optimalizačních schémat jsou potlačena díky veřejnoprávní regulaci poskytování daňového poradenství v podobě zákazu vázání odměny na dosažení daňové úspory.</w:t>
      </w:r>
    </w:p>
    <w:p w:rsidR="008E04B1" w:rsidRDefault="008E04B1" w:rsidP="00076487">
      <w:pPr>
        <w:rPr>
          <w:lang w:eastAsia="cs-CZ"/>
        </w:rPr>
      </w:pPr>
      <w:r>
        <w:rPr>
          <w:lang w:eastAsia="cs-CZ"/>
        </w:rPr>
        <w:t>Dalším pozitivním dopadem je to, že povinné oznámení daňové správě by odrazovalo poplatníky od používání takových schémat.</w:t>
      </w:r>
    </w:p>
    <w:p w:rsidR="008E04B1" w:rsidRDefault="008E04B1" w:rsidP="00076487">
      <w:pPr>
        <w:rPr>
          <w:lang w:eastAsia="cs-CZ"/>
        </w:rPr>
      </w:pPr>
      <w:r>
        <w:rPr>
          <w:lang w:eastAsia="cs-CZ"/>
        </w:rPr>
        <w:t>Mezi negativa lze uvést, že jeho zavedení by</w:t>
      </w:r>
      <w:r w:rsidR="00875FF0">
        <w:rPr>
          <w:lang w:eastAsia="cs-CZ"/>
        </w:rPr>
        <w:t xml:space="preserve"> </w:t>
      </w:r>
      <w:r>
        <w:rPr>
          <w:lang w:eastAsia="cs-CZ"/>
        </w:rPr>
        <w:t xml:space="preserve">zvýšilo administrativní náklady na straně poplatníků </w:t>
      </w:r>
      <w:r w:rsidR="00875FF0">
        <w:rPr>
          <w:lang w:eastAsia="cs-CZ"/>
        </w:rPr>
        <w:t>a</w:t>
      </w:r>
      <w:r>
        <w:rPr>
          <w:lang w:eastAsia="cs-CZ"/>
        </w:rPr>
        <w:t xml:space="preserve"> daňové správy</w:t>
      </w:r>
      <w:r w:rsidR="00802590">
        <w:rPr>
          <w:lang w:eastAsia="cs-CZ"/>
        </w:rPr>
        <w:t>. Při implementaci by bylo třeba dbát na to</w:t>
      </w:r>
      <w:r w:rsidR="00875FF0">
        <w:rPr>
          <w:lang w:eastAsia="cs-CZ"/>
        </w:rPr>
        <w:t xml:space="preserve">, </w:t>
      </w:r>
      <w:r w:rsidR="00802590">
        <w:rPr>
          <w:lang w:eastAsia="cs-CZ"/>
        </w:rPr>
        <w:t>aby nedošlo ke</w:t>
      </w:r>
      <w:r w:rsidR="00875FF0">
        <w:rPr>
          <w:lang w:eastAsia="cs-CZ"/>
        </w:rPr>
        <w:t xml:space="preserve"> </w:t>
      </w:r>
      <w:r w:rsidR="00875FF0">
        <w:rPr>
          <w:color w:val="1F497D"/>
        </w:rPr>
        <w:t>koliz</w:t>
      </w:r>
      <w:r w:rsidR="00802590">
        <w:rPr>
          <w:color w:val="1F497D"/>
        </w:rPr>
        <w:t>i</w:t>
      </w:r>
      <w:r w:rsidR="00875FF0">
        <w:rPr>
          <w:color w:val="1F497D"/>
        </w:rPr>
        <w:t xml:space="preserve"> se zákazem sebeobviňování. Nutné je zdůraznit i fakt, že oznamování schémat daňovými poradci jde </w:t>
      </w:r>
      <w:r w:rsidR="004144CE">
        <w:rPr>
          <w:color w:val="1F497D"/>
        </w:rPr>
        <w:t xml:space="preserve">v podstatě </w:t>
      </w:r>
      <w:r w:rsidR="00875FF0">
        <w:rPr>
          <w:color w:val="1F497D"/>
        </w:rPr>
        <w:t>proti smyslu daňového poradenství.</w:t>
      </w:r>
    </w:p>
    <w:p w:rsidR="008E04B1" w:rsidRPr="007F0A4A" w:rsidRDefault="008E04B1" w:rsidP="00076487">
      <w:pPr>
        <w:pStyle w:val="Nadpis3"/>
      </w:pPr>
      <w:r>
        <w:t>Předpoklad realizace</w:t>
      </w:r>
    </w:p>
    <w:p w:rsidR="008E04B1" w:rsidRPr="007F0A4A" w:rsidRDefault="008E04B1" w:rsidP="005A37BD">
      <w:pPr>
        <w:rPr>
          <w:lang w:eastAsia="cs-CZ"/>
        </w:rPr>
      </w:pPr>
      <w:r>
        <w:rPr>
          <w:lang w:eastAsia="cs-CZ"/>
        </w:rPr>
        <w:t>Dosud neurčeno.</w:t>
      </w:r>
    </w:p>
    <w:p w:rsidR="008E04B1" w:rsidRPr="007F0A4A" w:rsidRDefault="008E04B1" w:rsidP="005A37BD">
      <w:pPr>
        <w:pStyle w:val="Nadpis2"/>
        <w:spacing w:before="120"/>
      </w:pPr>
      <w:bookmarkStart w:id="16" w:name="_Toc448736165"/>
      <w:r w:rsidRPr="007F0A4A">
        <w:lastRenderedPageBreak/>
        <w:t xml:space="preserve">Akce 13: Dokumentace k převodním cenám a </w:t>
      </w:r>
      <w:r>
        <w:t>zpráva podle jednotlivých zemí (country-by-country reporting)</w:t>
      </w:r>
      <w:bookmarkEnd w:id="16"/>
    </w:p>
    <w:p w:rsidR="008E04B1" w:rsidRPr="007F0A4A" w:rsidRDefault="008E04B1" w:rsidP="00076487">
      <w:pPr>
        <w:pStyle w:val="Nadpis3"/>
      </w:pPr>
      <w:r>
        <w:t>Popis problému</w:t>
      </w:r>
    </w:p>
    <w:p w:rsidR="008E04B1" w:rsidRPr="007F0A4A" w:rsidRDefault="008E04B1" w:rsidP="00076487">
      <w:pPr>
        <w:rPr>
          <w:lang w:eastAsia="cs-CZ"/>
        </w:rPr>
      </w:pPr>
      <w:r>
        <w:rPr>
          <w:lang w:eastAsia="cs-CZ"/>
        </w:rPr>
        <w:t xml:space="preserve">Při posuzování vnitroskupinových převodních cen daňovým správám často chybí celkový obrázek o fungování dané nadnárodní skupiny. </w:t>
      </w:r>
    </w:p>
    <w:p w:rsidR="008E04B1" w:rsidRPr="007F0A4A" w:rsidRDefault="008E04B1" w:rsidP="00076487">
      <w:pPr>
        <w:pStyle w:val="Nadpis3"/>
      </w:pPr>
      <w:r>
        <w:t>Návrh řešení OECD</w:t>
      </w:r>
    </w:p>
    <w:p w:rsidR="008E04B1" w:rsidRDefault="008E04B1" w:rsidP="00A5781F">
      <w:pPr>
        <w:rPr>
          <w:lang w:eastAsia="cs-CZ"/>
        </w:rPr>
      </w:pPr>
      <w:r>
        <w:rPr>
          <w:lang w:eastAsia="cs-CZ"/>
        </w:rPr>
        <w:t xml:space="preserve">Akce 13 obsahuje požadavky na dokumentaci k převodním cenám, kterou by daňové správy měly požadovat po nadnárodních skupinách. Tyto požadavky budou vloženy do kapitoly V. Pokynů OECD </w:t>
      </w:r>
      <w:r w:rsidRPr="00225CA5">
        <w:rPr>
          <w:lang w:eastAsia="cs-CZ"/>
        </w:rPr>
        <w:t>pro vnitropodnikové oceňování pro nadnárodní společnosti a daňové správy</w:t>
      </w:r>
      <w:r>
        <w:rPr>
          <w:lang w:eastAsia="cs-CZ"/>
        </w:rPr>
        <w:t>.</w:t>
      </w:r>
    </w:p>
    <w:p w:rsidR="008E04B1" w:rsidRDefault="008E04B1" w:rsidP="00A5781F">
      <w:pPr>
        <w:rPr>
          <w:lang w:eastAsia="cs-CZ"/>
        </w:rPr>
      </w:pPr>
      <w:r>
        <w:rPr>
          <w:lang w:eastAsia="cs-CZ"/>
        </w:rPr>
        <w:t>Nově požadovaná dokumentace se skládá ze tří částí:</w:t>
      </w:r>
    </w:p>
    <w:p w:rsidR="008E04B1" w:rsidRDefault="008E04B1" w:rsidP="00F16E70">
      <w:pPr>
        <w:pStyle w:val="Odstavecseseznamem"/>
        <w:numPr>
          <w:ilvl w:val="0"/>
          <w:numId w:val="41"/>
        </w:numPr>
        <w:ind w:left="709" w:hanging="425"/>
        <w:rPr>
          <w:lang w:eastAsia="cs-CZ"/>
        </w:rPr>
      </w:pPr>
      <w:r>
        <w:rPr>
          <w:lang w:eastAsia="cs-CZ"/>
        </w:rPr>
        <w:t xml:space="preserve">Základní dokument (master </w:t>
      </w:r>
      <w:proofErr w:type="spellStart"/>
      <w:r>
        <w:rPr>
          <w:lang w:eastAsia="cs-CZ"/>
        </w:rPr>
        <w:t>file</w:t>
      </w:r>
      <w:proofErr w:type="spellEnd"/>
      <w:r>
        <w:rPr>
          <w:lang w:eastAsia="cs-CZ"/>
        </w:rPr>
        <w:t>), který by měl obsahovat údaje o skupině jako celku, jako např.:</w:t>
      </w:r>
    </w:p>
    <w:p w:rsidR="008E04B1" w:rsidRDefault="008E04B1" w:rsidP="00A5781F">
      <w:pPr>
        <w:numPr>
          <w:ilvl w:val="1"/>
          <w:numId w:val="30"/>
        </w:numPr>
        <w:ind w:left="1434" w:hanging="357"/>
        <w:rPr>
          <w:lang w:eastAsia="cs-CZ"/>
        </w:rPr>
      </w:pPr>
      <w:r>
        <w:rPr>
          <w:lang w:eastAsia="cs-CZ"/>
        </w:rPr>
        <w:t>organizační struktura,</w:t>
      </w:r>
    </w:p>
    <w:p w:rsidR="008E04B1" w:rsidRDefault="008E04B1" w:rsidP="00A5781F">
      <w:pPr>
        <w:numPr>
          <w:ilvl w:val="1"/>
          <w:numId w:val="30"/>
        </w:numPr>
        <w:ind w:left="1434" w:hanging="357"/>
        <w:rPr>
          <w:lang w:eastAsia="cs-CZ"/>
        </w:rPr>
      </w:pPr>
      <w:r>
        <w:rPr>
          <w:lang w:eastAsia="cs-CZ"/>
        </w:rPr>
        <w:t>hlavní obory činnosti,</w:t>
      </w:r>
    </w:p>
    <w:p w:rsidR="008E04B1" w:rsidRDefault="008E04B1" w:rsidP="00A5781F">
      <w:pPr>
        <w:numPr>
          <w:ilvl w:val="1"/>
          <w:numId w:val="30"/>
        </w:numPr>
        <w:ind w:left="1434" w:hanging="357"/>
        <w:rPr>
          <w:lang w:eastAsia="cs-CZ"/>
        </w:rPr>
      </w:pPr>
      <w:r>
        <w:rPr>
          <w:lang w:eastAsia="cs-CZ"/>
        </w:rPr>
        <w:t>nehmotná aktiva, jejich vývoj, vlastnictví a využití,</w:t>
      </w:r>
    </w:p>
    <w:p w:rsidR="008E04B1" w:rsidRDefault="008E04B1" w:rsidP="00A5781F">
      <w:pPr>
        <w:numPr>
          <w:ilvl w:val="1"/>
          <w:numId w:val="30"/>
        </w:numPr>
        <w:ind w:left="1434" w:hanging="357"/>
        <w:rPr>
          <w:lang w:eastAsia="cs-CZ"/>
        </w:rPr>
      </w:pPr>
      <w:r>
        <w:rPr>
          <w:lang w:eastAsia="cs-CZ"/>
        </w:rPr>
        <w:t>vnitroskupinové finanční vztahy,</w:t>
      </w:r>
    </w:p>
    <w:p w:rsidR="008E04B1" w:rsidRDefault="008E04B1" w:rsidP="00A5781F">
      <w:pPr>
        <w:numPr>
          <w:ilvl w:val="1"/>
          <w:numId w:val="30"/>
        </w:numPr>
        <w:ind w:left="1434" w:hanging="357"/>
        <w:rPr>
          <w:lang w:eastAsia="cs-CZ"/>
        </w:rPr>
      </w:pPr>
      <w:r>
        <w:rPr>
          <w:lang w:eastAsia="cs-CZ"/>
        </w:rPr>
        <w:t>konsolidované účetní a daňové výkazy, tak jak jsou požadovány dle již exitujících regulací.</w:t>
      </w:r>
    </w:p>
    <w:p w:rsidR="008E04B1" w:rsidRDefault="008E04B1" w:rsidP="00A5781F">
      <w:pPr>
        <w:numPr>
          <w:ilvl w:val="0"/>
          <w:numId w:val="30"/>
        </w:numPr>
        <w:rPr>
          <w:lang w:eastAsia="cs-CZ"/>
        </w:rPr>
      </w:pPr>
      <w:r>
        <w:rPr>
          <w:lang w:eastAsia="cs-CZ"/>
        </w:rPr>
        <w:t>Lokální dokument (</w:t>
      </w:r>
      <w:proofErr w:type="spellStart"/>
      <w:r>
        <w:rPr>
          <w:lang w:eastAsia="cs-CZ"/>
        </w:rPr>
        <w:t>local</w:t>
      </w:r>
      <w:proofErr w:type="spellEnd"/>
      <w:r>
        <w:rPr>
          <w:lang w:eastAsia="cs-CZ"/>
        </w:rPr>
        <w:t xml:space="preserve"> </w:t>
      </w:r>
      <w:proofErr w:type="spellStart"/>
      <w:r>
        <w:rPr>
          <w:lang w:eastAsia="cs-CZ"/>
        </w:rPr>
        <w:t>file</w:t>
      </w:r>
      <w:proofErr w:type="spellEnd"/>
      <w:r>
        <w:rPr>
          <w:lang w:eastAsia="cs-CZ"/>
        </w:rPr>
        <w:t>), který bude obsahovat údaje o každé entitě, která je součástí dané skupiny a která je rezidentní v dané jurisdikci. Místní dokument by měl obsahovat údaje jako např.:</w:t>
      </w:r>
    </w:p>
    <w:p w:rsidR="008E04B1" w:rsidRDefault="008E04B1" w:rsidP="00A5781F">
      <w:pPr>
        <w:numPr>
          <w:ilvl w:val="1"/>
          <w:numId w:val="30"/>
        </w:numPr>
        <w:ind w:left="1434" w:hanging="357"/>
        <w:rPr>
          <w:lang w:eastAsia="cs-CZ"/>
        </w:rPr>
      </w:pPr>
      <w:r>
        <w:rPr>
          <w:lang w:eastAsia="cs-CZ"/>
        </w:rPr>
        <w:t>organizační struktura,</w:t>
      </w:r>
    </w:p>
    <w:p w:rsidR="008E04B1" w:rsidRDefault="008E04B1" w:rsidP="00A5781F">
      <w:pPr>
        <w:numPr>
          <w:ilvl w:val="1"/>
          <w:numId w:val="30"/>
        </w:numPr>
        <w:ind w:left="1434" w:hanging="357"/>
        <w:rPr>
          <w:lang w:eastAsia="cs-CZ"/>
        </w:rPr>
      </w:pPr>
      <w:r>
        <w:rPr>
          <w:lang w:eastAsia="cs-CZ"/>
        </w:rPr>
        <w:t>hlavní obory činnosti,</w:t>
      </w:r>
    </w:p>
    <w:p w:rsidR="008E04B1" w:rsidRDefault="008E04B1" w:rsidP="00A5781F">
      <w:pPr>
        <w:numPr>
          <w:ilvl w:val="1"/>
          <w:numId w:val="30"/>
        </w:numPr>
        <w:ind w:left="1434" w:hanging="357"/>
        <w:rPr>
          <w:lang w:eastAsia="cs-CZ"/>
        </w:rPr>
      </w:pPr>
      <w:r>
        <w:rPr>
          <w:lang w:eastAsia="cs-CZ"/>
        </w:rPr>
        <w:t>transakce se spojenými osobami včetně všech potřebných informací nezbytných ke stanovení převodní ceny na principu tržního odstupu,</w:t>
      </w:r>
    </w:p>
    <w:p w:rsidR="008E04B1" w:rsidRDefault="008E04B1" w:rsidP="00A5781F">
      <w:pPr>
        <w:numPr>
          <w:ilvl w:val="1"/>
          <w:numId w:val="30"/>
        </w:numPr>
        <w:ind w:left="1434" w:hanging="357"/>
        <w:rPr>
          <w:lang w:eastAsia="cs-CZ"/>
        </w:rPr>
      </w:pPr>
      <w:r>
        <w:rPr>
          <w:lang w:eastAsia="cs-CZ"/>
        </w:rPr>
        <w:t>účetní a daňové výkazy, tak jak jsou požadovány dle již exitujících regulací.</w:t>
      </w:r>
    </w:p>
    <w:p w:rsidR="008E04B1" w:rsidRDefault="008E04B1" w:rsidP="00D67E55">
      <w:pPr>
        <w:rPr>
          <w:lang w:eastAsia="cs-CZ"/>
        </w:rPr>
      </w:pPr>
    </w:p>
    <w:p w:rsidR="008E04B1" w:rsidRDefault="008E04B1" w:rsidP="00580E2E">
      <w:pPr>
        <w:numPr>
          <w:ilvl w:val="0"/>
          <w:numId w:val="30"/>
        </w:numPr>
        <w:rPr>
          <w:lang w:eastAsia="cs-CZ"/>
        </w:rPr>
      </w:pPr>
      <w:r>
        <w:rPr>
          <w:lang w:eastAsia="cs-CZ"/>
        </w:rPr>
        <w:t>Zpráva dle jednotlivých zemí (</w:t>
      </w:r>
      <w:r>
        <w:t xml:space="preserve">country-by-country report), která se bude týkat jen nadnárodních skupin společností </w:t>
      </w:r>
      <w:r w:rsidRPr="00580E2E">
        <w:t>s konsolidovaným obratem nad 750 milionů EUR (cca 20 mld. Kč)</w:t>
      </w:r>
      <w:r>
        <w:t xml:space="preserve">, bude obsahovat následující </w:t>
      </w:r>
      <w:r w:rsidRPr="00D67E55">
        <w:t>informace o skupině nadnárodních podniků</w:t>
      </w:r>
      <w:r>
        <w:t>:</w:t>
      </w:r>
    </w:p>
    <w:p w:rsidR="008E04B1" w:rsidRDefault="008E04B1" w:rsidP="00D67E55">
      <w:pPr>
        <w:numPr>
          <w:ilvl w:val="1"/>
          <w:numId w:val="30"/>
        </w:numPr>
        <w:rPr>
          <w:lang w:eastAsia="cs-CZ"/>
        </w:rPr>
      </w:pPr>
      <w:r w:rsidRPr="00D67E55">
        <w:rPr>
          <w:lang w:eastAsia="cs-CZ"/>
        </w:rPr>
        <w:t xml:space="preserve">souhrnné informace týkající se výše výnosů, zisku (ztráty) před zdaněním příjmu, </w:t>
      </w:r>
    </w:p>
    <w:p w:rsidR="008E04B1" w:rsidRDefault="008E04B1" w:rsidP="00D67E55">
      <w:pPr>
        <w:numPr>
          <w:ilvl w:val="1"/>
          <w:numId w:val="30"/>
        </w:numPr>
        <w:rPr>
          <w:lang w:eastAsia="cs-CZ"/>
        </w:rPr>
      </w:pPr>
      <w:r w:rsidRPr="00D67E55">
        <w:rPr>
          <w:lang w:eastAsia="cs-CZ"/>
        </w:rPr>
        <w:t>zaplacen</w:t>
      </w:r>
      <w:r>
        <w:rPr>
          <w:lang w:eastAsia="cs-CZ"/>
        </w:rPr>
        <w:t>ou</w:t>
      </w:r>
      <w:r w:rsidRPr="00D67E55">
        <w:rPr>
          <w:lang w:eastAsia="cs-CZ"/>
        </w:rPr>
        <w:t xml:space="preserve"> da</w:t>
      </w:r>
      <w:r>
        <w:rPr>
          <w:lang w:eastAsia="cs-CZ"/>
        </w:rPr>
        <w:t>ň</w:t>
      </w:r>
      <w:r w:rsidRPr="00D67E55">
        <w:rPr>
          <w:lang w:eastAsia="cs-CZ"/>
        </w:rPr>
        <w:t xml:space="preserve"> z příjmu, </w:t>
      </w:r>
    </w:p>
    <w:p w:rsidR="008E04B1" w:rsidRDefault="008E04B1" w:rsidP="00D67E55">
      <w:pPr>
        <w:numPr>
          <w:ilvl w:val="1"/>
          <w:numId w:val="30"/>
        </w:numPr>
        <w:rPr>
          <w:lang w:eastAsia="cs-CZ"/>
        </w:rPr>
      </w:pPr>
      <w:r w:rsidDel="005E38B1">
        <w:rPr>
          <w:lang w:eastAsia="cs-CZ"/>
        </w:rPr>
        <w:t>splatné</w:t>
      </w:r>
      <w:r w:rsidRPr="00D67E55" w:rsidDel="005E38B1">
        <w:rPr>
          <w:lang w:eastAsia="cs-CZ"/>
        </w:rPr>
        <w:t xml:space="preserve"> daně z příjmu, </w:t>
      </w:r>
    </w:p>
    <w:p w:rsidR="008E04B1" w:rsidRDefault="008E04B1" w:rsidP="00D67E55">
      <w:pPr>
        <w:numPr>
          <w:ilvl w:val="1"/>
          <w:numId w:val="30"/>
        </w:numPr>
        <w:rPr>
          <w:lang w:eastAsia="cs-CZ"/>
        </w:rPr>
      </w:pPr>
      <w:r w:rsidRPr="00D67E55">
        <w:rPr>
          <w:lang w:eastAsia="cs-CZ"/>
        </w:rPr>
        <w:t xml:space="preserve">základní kapitál, </w:t>
      </w:r>
    </w:p>
    <w:p w:rsidR="008E04B1" w:rsidRDefault="008E04B1" w:rsidP="00D67E55">
      <w:pPr>
        <w:numPr>
          <w:ilvl w:val="1"/>
          <w:numId w:val="30"/>
        </w:numPr>
        <w:rPr>
          <w:lang w:eastAsia="cs-CZ"/>
        </w:rPr>
      </w:pPr>
      <w:r>
        <w:rPr>
          <w:lang w:eastAsia="cs-CZ"/>
        </w:rPr>
        <w:t>nerozdělené</w:t>
      </w:r>
      <w:r w:rsidRPr="00D67E55">
        <w:rPr>
          <w:lang w:eastAsia="cs-CZ"/>
        </w:rPr>
        <w:t xml:space="preserve"> zisk</w:t>
      </w:r>
      <w:r>
        <w:rPr>
          <w:lang w:eastAsia="cs-CZ"/>
        </w:rPr>
        <w:t>y</w:t>
      </w:r>
      <w:r w:rsidRPr="00D67E55">
        <w:rPr>
          <w:lang w:eastAsia="cs-CZ"/>
        </w:rPr>
        <w:t xml:space="preserve">, </w:t>
      </w:r>
    </w:p>
    <w:p w:rsidR="008E04B1" w:rsidRPr="00B41F80" w:rsidRDefault="008E04B1" w:rsidP="00D67E55">
      <w:pPr>
        <w:numPr>
          <w:ilvl w:val="1"/>
          <w:numId w:val="30"/>
        </w:numPr>
        <w:rPr>
          <w:lang w:eastAsia="cs-CZ"/>
        </w:rPr>
      </w:pPr>
      <w:r w:rsidRPr="00D67E55">
        <w:rPr>
          <w:lang w:eastAsia="cs-CZ"/>
        </w:rPr>
        <w:lastRenderedPageBreak/>
        <w:t>poč</w:t>
      </w:r>
      <w:r>
        <w:rPr>
          <w:lang w:eastAsia="cs-CZ"/>
        </w:rPr>
        <w:t>e</w:t>
      </w:r>
      <w:r w:rsidRPr="00D67E55">
        <w:rPr>
          <w:lang w:eastAsia="cs-CZ"/>
        </w:rPr>
        <w:t>t zaměstnanců a jiných hmotných aktiv než peněžní prostředky nebo peněžní ekvivalenty ve vztahu ke každé jurisdikci, v níž skupina nadnárodních podniků působí</w:t>
      </w:r>
      <w:r w:rsidRPr="00B41F80">
        <w:rPr>
          <w:lang w:eastAsia="cs-CZ"/>
        </w:rPr>
        <w:t>,</w:t>
      </w:r>
    </w:p>
    <w:p w:rsidR="008E04B1" w:rsidRDefault="008E04B1" w:rsidP="00D67E55">
      <w:pPr>
        <w:numPr>
          <w:ilvl w:val="1"/>
          <w:numId w:val="30"/>
        </w:numPr>
        <w:rPr>
          <w:lang w:eastAsia="cs-CZ"/>
        </w:rPr>
      </w:pPr>
      <w:r w:rsidRPr="00D67E55">
        <w:rPr>
          <w:lang w:eastAsia="cs-CZ"/>
        </w:rPr>
        <w:t xml:space="preserve">identifikaci každé členské </w:t>
      </w:r>
      <w:r>
        <w:rPr>
          <w:lang w:eastAsia="cs-CZ"/>
        </w:rPr>
        <w:t>entity</w:t>
      </w:r>
      <w:r w:rsidRPr="00D67E55">
        <w:rPr>
          <w:lang w:eastAsia="cs-CZ"/>
        </w:rPr>
        <w:t xml:space="preserve"> skupiny nadnárodních podniků, včetně stanovení jurisdikce daňové rezidence t</w:t>
      </w:r>
      <w:r>
        <w:rPr>
          <w:lang w:eastAsia="cs-CZ"/>
        </w:rPr>
        <w:t>éto</w:t>
      </w:r>
      <w:r w:rsidRPr="00D67E55">
        <w:rPr>
          <w:lang w:eastAsia="cs-CZ"/>
        </w:rPr>
        <w:t xml:space="preserve"> členské</w:t>
      </w:r>
      <w:r>
        <w:rPr>
          <w:lang w:eastAsia="cs-CZ"/>
        </w:rPr>
        <w:t xml:space="preserve"> entity</w:t>
      </w:r>
      <w:r w:rsidRPr="00D67E55">
        <w:rPr>
          <w:lang w:eastAsia="cs-CZ"/>
        </w:rPr>
        <w:t>, a pokud je odlišná od této jurisdikce pro daňové účely, též jurisdikce, podle jejichž právních předpisů je t</w:t>
      </w:r>
      <w:r>
        <w:rPr>
          <w:lang w:eastAsia="cs-CZ"/>
        </w:rPr>
        <w:t>ato</w:t>
      </w:r>
      <w:r w:rsidRPr="00D67E55">
        <w:rPr>
          <w:lang w:eastAsia="cs-CZ"/>
        </w:rPr>
        <w:t xml:space="preserve"> člensk</w:t>
      </w:r>
      <w:r>
        <w:rPr>
          <w:lang w:eastAsia="cs-CZ"/>
        </w:rPr>
        <w:t>á</w:t>
      </w:r>
      <w:r w:rsidRPr="00D67E55">
        <w:rPr>
          <w:lang w:eastAsia="cs-CZ"/>
        </w:rPr>
        <w:t xml:space="preserve"> </w:t>
      </w:r>
      <w:r>
        <w:rPr>
          <w:lang w:eastAsia="cs-CZ"/>
        </w:rPr>
        <w:t>entita</w:t>
      </w:r>
      <w:r w:rsidRPr="00D67E55">
        <w:rPr>
          <w:lang w:eastAsia="cs-CZ"/>
        </w:rPr>
        <w:t xml:space="preserve"> založen</w:t>
      </w:r>
      <w:r>
        <w:rPr>
          <w:lang w:eastAsia="cs-CZ"/>
        </w:rPr>
        <w:t>a</w:t>
      </w:r>
      <w:r w:rsidRPr="00D67E55">
        <w:rPr>
          <w:lang w:eastAsia="cs-CZ"/>
        </w:rPr>
        <w:t xml:space="preserve">, a </w:t>
      </w:r>
    </w:p>
    <w:p w:rsidR="008E04B1" w:rsidRPr="00B41F80" w:rsidRDefault="008E04B1" w:rsidP="00D67E55">
      <w:pPr>
        <w:numPr>
          <w:ilvl w:val="1"/>
          <w:numId w:val="30"/>
        </w:numPr>
        <w:rPr>
          <w:lang w:eastAsia="cs-CZ"/>
        </w:rPr>
      </w:pPr>
      <w:r w:rsidRPr="00D67E55">
        <w:rPr>
          <w:lang w:eastAsia="cs-CZ"/>
        </w:rPr>
        <w:t>povahu hlavní podnikatelské činnosti nebo činností t</w:t>
      </w:r>
      <w:r>
        <w:rPr>
          <w:lang w:eastAsia="cs-CZ"/>
        </w:rPr>
        <w:t>éto</w:t>
      </w:r>
      <w:r w:rsidRPr="00D67E55">
        <w:rPr>
          <w:lang w:eastAsia="cs-CZ"/>
        </w:rPr>
        <w:t xml:space="preserve"> členské </w:t>
      </w:r>
      <w:r>
        <w:rPr>
          <w:lang w:eastAsia="cs-CZ"/>
        </w:rPr>
        <w:t>entity</w:t>
      </w:r>
      <w:r w:rsidRPr="00B41F80">
        <w:rPr>
          <w:lang w:eastAsia="cs-CZ"/>
        </w:rPr>
        <w:t>,</w:t>
      </w:r>
    </w:p>
    <w:p w:rsidR="008E04B1" w:rsidRDefault="008E04B1" w:rsidP="00FB3AA8">
      <w:pPr>
        <w:ind w:left="1080"/>
        <w:rPr>
          <w:lang w:eastAsia="cs-CZ"/>
        </w:rPr>
      </w:pPr>
    </w:p>
    <w:p w:rsidR="008E04B1" w:rsidRDefault="008E04B1" w:rsidP="00D649D2">
      <w:r>
        <w:t>Zprávy dle jednotlivých zemí budou globální mateřské společnosti nadnárodních skupin podávat daňovým správám v zem</w:t>
      </w:r>
      <w:r w:rsidR="00ED2B8D">
        <w:t>i</w:t>
      </w:r>
      <w:r>
        <w:t xml:space="preserve"> své rezidence. Tyto daňové správy je pak budou předávat na základě mezinárodních smluv o výměně informací pro daňové účely ostatním daňovým správám, kde sídlí členské entity dané nadnárodní skupiny.</w:t>
      </w:r>
    </w:p>
    <w:p w:rsidR="008E04B1" w:rsidRPr="007F0A4A" w:rsidRDefault="008E04B1" w:rsidP="00076487">
      <w:pPr>
        <w:pStyle w:val="Nadpis3"/>
      </w:pPr>
      <w:r>
        <w:t>Aplikace v ČR</w:t>
      </w:r>
    </w:p>
    <w:p w:rsidR="008E04B1" w:rsidRDefault="008E04B1" w:rsidP="00471B40">
      <w:pPr>
        <w:rPr>
          <w:lang w:eastAsia="cs-CZ"/>
        </w:rPr>
      </w:pPr>
      <w:r>
        <w:rPr>
          <w:lang w:eastAsia="cs-CZ"/>
        </w:rPr>
        <w:t>V současné době se pracuje pouze na implementaci požadavku na zprávy dle jednotlivých zemí dle bodu 3.</w:t>
      </w:r>
    </w:p>
    <w:p w:rsidR="008E04B1" w:rsidRDefault="008E04B1" w:rsidP="00471B40">
      <w:pPr>
        <w:rPr>
          <w:lang w:eastAsia="cs-CZ"/>
        </w:rPr>
      </w:pPr>
      <w:r>
        <w:rPr>
          <w:lang w:eastAsia="cs-CZ"/>
        </w:rPr>
        <w:t>Mezi pozitiva, která tato implementace přinese, lze uvést lepší rizikovou analýzu, kterou výše uvedené informace umožní provádět daňové správě. Na základě informací o celosvětových aktivitách se bude moci daňová správa zaměřit na prověřování lokálních entit té nadnárodní skupiny, u které bude shledáno riziko, že používá agresivní daňové plánování na globální úrovni.</w:t>
      </w:r>
    </w:p>
    <w:p w:rsidR="008E04B1" w:rsidRPr="0025593F" w:rsidRDefault="008E04B1" w:rsidP="0063004B">
      <w:pPr>
        <w:rPr>
          <w:lang w:eastAsia="cs-CZ"/>
        </w:rPr>
      </w:pPr>
      <w:r>
        <w:rPr>
          <w:lang w:eastAsia="cs-CZ"/>
        </w:rPr>
        <w:t xml:space="preserve">Dle výstupů Akce 11 by data ze zpráv dle jednotlivých zemí rovněž měla sloužit pro ekonomickou analýzu přesouvání zisků </w:t>
      </w:r>
      <w:r w:rsidRPr="00C415C7">
        <w:rPr>
          <w:lang w:eastAsia="cs-CZ"/>
        </w:rPr>
        <w:t>nadnárodními skupinami.</w:t>
      </w:r>
    </w:p>
    <w:p w:rsidR="008E04B1" w:rsidRDefault="008E04B1" w:rsidP="0063004B">
      <w:r w:rsidRPr="0025593F">
        <w:rPr>
          <w:lang w:eastAsia="cs-CZ"/>
        </w:rPr>
        <w:t xml:space="preserve">Mezi negativa lze uvést zvýšenou administrativní zátěž na straně poplatníků, kteří budou mít povinnost </w:t>
      </w:r>
      <w:r>
        <w:rPr>
          <w:lang w:eastAsia="cs-CZ"/>
        </w:rPr>
        <w:t>zprávy podle jednotlivých zemí</w:t>
      </w:r>
      <w:r w:rsidRPr="0025593F">
        <w:rPr>
          <w:lang w:eastAsia="cs-CZ"/>
        </w:rPr>
        <w:t xml:space="preserve"> zpracovávat. </w:t>
      </w:r>
      <w:r>
        <w:rPr>
          <w:lang w:eastAsia="cs-CZ"/>
        </w:rPr>
        <w:t>Zároveň</w:t>
      </w:r>
      <w:r w:rsidRPr="0025593F">
        <w:rPr>
          <w:lang w:eastAsia="cs-CZ"/>
        </w:rPr>
        <w:t xml:space="preserve"> lze odhadnout, že vzhledem k poměrně vysoké hranici obratu bude počet nadnárodních skupin podávajících </w:t>
      </w:r>
      <w:r w:rsidRPr="00036694">
        <w:rPr>
          <w:lang w:eastAsia="cs-CZ"/>
        </w:rPr>
        <w:t>zprávu</w:t>
      </w:r>
      <w:r w:rsidRPr="001D18CD">
        <w:t xml:space="preserve"> </w:t>
      </w:r>
      <w:r w:rsidRPr="001D18CD">
        <w:rPr>
          <w:lang w:eastAsia="cs-CZ"/>
        </w:rPr>
        <w:t>české daňové správě z titulu rezidence mateřské společnosti v</w:t>
      </w:r>
      <w:r w:rsidRPr="0025593F">
        <w:rPr>
          <w:lang w:eastAsia="cs-CZ"/>
        </w:rPr>
        <w:t xml:space="preserve"> ČR omezen jen na jednotky případů.</w:t>
      </w:r>
    </w:p>
    <w:p w:rsidR="008E04B1" w:rsidRPr="007F0A4A" w:rsidRDefault="008E04B1" w:rsidP="00076487">
      <w:pPr>
        <w:pStyle w:val="Nadpis3"/>
      </w:pPr>
      <w:r>
        <w:t>Předpoklad realizace</w:t>
      </w:r>
    </w:p>
    <w:p w:rsidR="008E04B1" w:rsidRDefault="008E04B1" w:rsidP="005A37BD">
      <w:r>
        <w:t>V lednu 2016 podepsala většina členských států OECD a několik nečlenských států Mnohostrannou dohodu příslušných orgánů zakotvující výměnu informací získaných ze zpráv podle jednotlivých zemí. Současně se v EU projednává návrh novely směrnice o</w:t>
      </w:r>
      <w:r w:rsidRPr="0063004B">
        <w:t xml:space="preserve"> správní spolupráci v oblasti daní </w:t>
      </w:r>
      <w:r>
        <w:t>(DAC4), která představuje</w:t>
      </w:r>
      <w:r w:rsidRPr="00FF5609">
        <w:t xml:space="preserve"> pro všechny členské státy EU</w:t>
      </w:r>
      <w:r>
        <w:t xml:space="preserve"> harmonizovanou úpravu podmínek, za kterých mají být zprávy podle jednotlivých zemí dotčenými daňovými poplatníky vypracovány a doručeny finanční správě.</w:t>
      </w:r>
    </w:p>
    <w:p w:rsidR="008E04B1" w:rsidRPr="007F0A4A" w:rsidRDefault="008E04B1" w:rsidP="005A37BD">
      <w:r>
        <w:t>Podrobněji viz kapitola 4.</w:t>
      </w:r>
    </w:p>
    <w:p w:rsidR="008E04B1" w:rsidRPr="007F0A4A" w:rsidRDefault="008E04B1" w:rsidP="005A37BD">
      <w:pPr>
        <w:pStyle w:val="Nadpis2"/>
        <w:spacing w:before="120"/>
      </w:pPr>
      <w:bookmarkStart w:id="17" w:name="_Toc448736166"/>
      <w:r w:rsidRPr="007F0A4A">
        <w:lastRenderedPageBreak/>
        <w:t>Akce 14: Zefektivnění mechanismu řešení případů dohodou</w:t>
      </w:r>
      <w:bookmarkEnd w:id="17"/>
    </w:p>
    <w:p w:rsidR="008E04B1" w:rsidRPr="007F0A4A" w:rsidRDefault="008E04B1" w:rsidP="00D772BA">
      <w:pPr>
        <w:pStyle w:val="Nadpis3"/>
      </w:pPr>
      <w:r>
        <w:t>Popis problému</w:t>
      </w:r>
    </w:p>
    <w:p w:rsidR="008E04B1" w:rsidRPr="006A20E3" w:rsidRDefault="008E04B1" w:rsidP="00F65D06">
      <w:r w:rsidRPr="006A20E3">
        <w:t>Jde o identifik</w:t>
      </w:r>
      <w:r>
        <w:t>aci</w:t>
      </w:r>
      <w:r w:rsidRPr="006A20E3">
        <w:t xml:space="preserve"> překáž</w:t>
      </w:r>
      <w:r>
        <w:t>e</w:t>
      </w:r>
      <w:r w:rsidRPr="006A20E3">
        <w:t xml:space="preserve">k, které zabraňují státům, resp. jejich příslušným úřadům, efektivně spory související se smlouvami o zamezení dvojímu zdanění řešit a </w:t>
      </w:r>
      <w:r>
        <w:t xml:space="preserve">i o to, </w:t>
      </w:r>
      <w:r w:rsidRPr="006A20E3">
        <w:t xml:space="preserve">proč je v některých případech v některých státech dokonce přístup k danému institutu zcela zamítnut. </w:t>
      </w:r>
      <w:r>
        <w:t>Akce míří na konzistentní a řádné provádění daného článku smluv, kdy by mělo být zajištěno účinné a včasné řešení případně vzniklých problémů při provádění a výkladu smluv.</w:t>
      </w:r>
    </w:p>
    <w:p w:rsidR="008E04B1" w:rsidRPr="007F0A4A" w:rsidRDefault="008E04B1" w:rsidP="00D772BA">
      <w:pPr>
        <w:pStyle w:val="Nadpis3"/>
      </w:pPr>
      <w:r>
        <w:t>Návrh řešení OECD</w:t>
      </w:r>
    </w:p>
    <w:p w:rsidR="008E04B1" w:rsidRDefault="008E04B1" w:rsidP="00B86BE0">
      <w:pPr>
        <w:rPr>
          <w:lang w:eastAsia="cs-CZ"/>
        </w:rPr>
      </w:pPr>
      <w:r>
        <w:rPr>
          <w:lang w:eastAsia="cs-CZ"/>
        </w:rPr>
        <w:t xml:space="preserve">Výsledkem projektu je </w:t>
      </w:r>
      <w:r w:rsidRPr="007F0A4A">
        <w:rPr>
          <w:lang w:eastAsia="cs-CZ"/>
        </w:rPr>
        <w:t>minimální standard</w:t>
      </w:r>
      <w:r>
        <w:rPr>
          <w:lang w:eastAsia="cs-CZ"/>
        </w:rPr>
        <w:t xml:space="preserve"> sestávající ze 17 doporučení</w:t>
      </w:r>
      <w:r w:rsidRPr="007F0A4A">
        <w:rPr>
          <w:lang w:eastAsia="cs-CZ"/>
        </w:rPr>
        <w:t>, přičemž se vytváří současně i monitorovací mechanismus</w:t>
      </w:r>
      <w:r>
        <w:rPr>
          <w:lang w:eastAsia="cs-CZ"/>
        </w:rPr>
        <w:t xml:space="preserve"> dodržování uvedeného standardu, a 11 tzv. „</w:t>
      </w:r>
      <w:proofErr w:type="spellStart"/>
      <w:r>
        <w:rPr>
          <w:lang w:eastAsia="cs-CZ"/>
        </w:rPr>
        <w:t>best</w:t>
      </w:r>
      <w:proofErr w:type="spellEnd"/>
      <w:r>
        <w:rPr>
          <w:lang w:eastAsia="cs-CZ"/>
        </w:rPr>
        <w:t xml:space="preserve"> </w:t>
      </w:r>
      <w:proofErr w:type="spellStart"/>
      <w:r>
        <w:rPr>
          <w:lang w:eastAsia="cs-CZ"/>
        </w:rPr>
        <w:t>practices</w:t>
      </w:r>
      <w:proofErr w:type="spellEnd"/>
      <w:r>
        <w:rPr>
          <w:lang w:eastAsia="cs-CZ"/>
        </w:rPr>
        <w:t>“:</w:t>
      </w:r>
    </w:p>
    <w:p w:rsidR="008E04B1" w:rsidRPr="007F0A4A" w:rsidRDefault="008E04B1" w:rsidP="00B86BE0">
      <w:pPr>
        <w:numPr>
          <w:ilvl w:val="0"/>
          <w:numId w:val="31"/>
        </w:numPr>
        <w:rPr>
          <w:lang w:eastAsia="cs-CZ"/>
        </w:rPr>
      </w:pPr>
      <w:r w:rsidRPr="007F0A4A">
        <w:rPr>
          <w:lang w:eastAsia="cs-CZ"/>
        </w:rPr>
        <w:t>Země by měly vkládat odstavce 1 až 3 článku 25 do jejich daňových smluv, s výhradou přípustných variant a včetně alternativ řešení; měly by poskytnout přístup do institutu řešení případů dohodou v případech transferových cen a měly by implementovat výsledné vzájemné dohody (např. učiněním vhodných úprav do vyměřených daní).</w:t>
      </w:r>
    </w:p>
    <w:p w:rsidR="008E04B1" w:rsidRPr="007F0A4A" w:rsidRDefault="008E04B1" w:rsidP="00C264D2">
      <w:pPr>
        <w:numPr>
          <w:ilvl w:val="0"/>
          <w:numId w:val="31"/>
        </w:numPr>
        <w:rPr>
          <w:lang w:eastAsia="cs-CZ"/>
        </w:rPr>
      </w:pPr>
      <w:r w:rsidRPr="007F0A4A">
        <w:rPr>
          <w:lang w:eastAsia="cs-CZ"/>
        </w:rPr>
        <w:t xml:space="preserve">Země by měly zajistit přístup k řešení případů dohodou v případech, ve kterých je neshoda mezi daňovým poplatníkem a daňovým úřadem dělajícím úpravu, pokud jde o to, zda podmínky pro aplikaci smluvních </w:t>
      </w:r>
      <w:proofErr w:type="gramStart"/>
      <w:r w:rsidRPr="007F0A4A">
        <w:rPr>
          <w:lang w:eastAsia="cs-CZ"/>
        </w:rPr>
        <w:t>anti-abuse</w:t>
      </w:r>
      <w:proofErr w:type="gramEnd"/>
      <w:r w:rsidRPr="007F0A4A">
        <w:rPr>
          <w:lang w:eastAsia="cs-CZ"/>
        </w:rPr>
        <w:t xml:space="preserve"> opatření byly </w:t>
      </w:r>
      <w:proofErr w:type="gramStart"/>
      <w:r w:rsidRPr="007F0A4A">
        <w:rPr>
          <w:lang w:eastAsia="cs-CZ"/>
        </w:rPr>
        <w:t>splněny</w:t>
      </w:r>
      <w:proofErr w:type="gramEnd"/>
      <w:r w:rsidRPr="007F0A4A">
        <w:rPr>
          <w:lang w:eastAsia="cs-CZ"/>
        </w:rPr>
        <w:t xml:space="preserve"> nebo pokud jde o to, zda aplikace domácích právních ustanovení</w:t>
      </w:r>
      <w:r>
        <w:rPr>
          <w:lang w:eastAsia="cs-CZ"/>
        </w:rPr>
        <w:t>, resp. její výsledek,</w:t>
      </w:r>
      <w:r w:rsidRPr="007F0A4A">
        <w:rPr>
          <w:lang w:eastAsia="cs-CZ"/>
        </w:rPr>
        <w:t xml:space="preserve"> proti zneužívání je v konfliktu s ustanoveními smlouvy.</w:t>
      </w:r>
    </w:p>
    <w:p w:rsidR="008E04B1" w:rsidRPr="007F0A4A" w:rsidRDefault="008E04B1" w:rsidP="00C264D2">
      <w:pPr>
        <w:numPr>
          <w:ilvl w:val="0"/>
          <w:numId w:val="31"/>
        </w:numPr>
        <w:rPr>
          <w:lang w:eastAsia="cs-CZ"/>
        </w:rPr>
      </w:pPr>
      <w:r w:rsidRPr="007F0A4A">
        <w:rPr>
          <w:lang w:eastAsia="cs-CZ"/>
        </w:rPr>
        <w:t>Země by se měly snažit najít rozřešení případu v průměrném časovém rámci 24 měsíců. Pokrok zemí k dosažení tohoto cíle bude předmětem pravidelného zkoumání, a to na základě individuálně připravovaných statistik.</w:t>
      </w:r>
    </w:p>
    <w:p w:rsidR="008E04B1" w:rsidRPr="007F0A4A" w:rsidRDefault="008E04B1" w:rsidP="00C264D2">
      <w:pPr>
        <w:numPr>
          <w:ilvl w:val="0"/>
          <w:numId w:val="31"/>
        </w:numPr>
        <w:rPr>
          <w:lang w:eastAsia="cs-CZ"/>
        </w:rPr>
      </w:pPr>
      <w:r w:rsidRPr="007F0A4A">
        <w:rPr>
          <w:lang w:eastAsia="cs-CZ"/>
        </w:rPr>
        <w:t xml:space="preserve">Země by měly rozšířit vzájemné vztahy svých kompetentních orgánů a pracovat kolektivně ke zlepšení efektivnosti řešení případů dohodou tím, že se stanou členy MAP </w:t>
      </w:r>
      <w:r>
        <w:rPr>
          <w:lang w:eastAsia="cs-CZ"/>
        </w:rPr>
        <w:t>f</w:t>
      </w:r>
      <w:r w:rsidRPr="007F0A4A">
        <w:rPr>
          <w:lang w:eastAsia="cs-CZ"/>
        </w:rPr>
        <w:t>óra pro daňovou správu (FTA MAP Fórum).</w:t>
      </w:r>
    </w:p>
    <w:p w:rsidR="008E04B1" w:rsidRPr="007F0A4A" w:rsidRDefault="008E04B1" w:rsidP="00C264D2">
      <w:pPr>
        <w:numPr>
          <w:ilvl w:val="0"/>
          <w:numId w:val="31"/>
        </w:numPr>
        <w:rPr>
          <w:lang w:eastAsia="cs-CZ"/>
        </w:rPr>
      </w:pPr>
      <w:r w:rsidRPr="007F0A4A">
        <w:rPr>
          <w:lang w:eastAsia="cs-CZ"/>
        </w:rPr>
        <w:t>Země by měly poskytovat včasné a kompletní výkaznictví statistiky řešení případů dohodou, podle připravovaných a dohodnutých vykazovacích rámců, které mají být vyvinuty v koordinaci s FTA MAP Fórem.</w:t>
      </w:r>
    </w:p>
    <w:p w:rsidR="008E04B1" w:rsidRPr="007F0A4A" w:rsidRDefault="008E04B1" w:rsidP="00C264D2">
      <w:pPr>
        <w:numPr>
          <w:ilvl w:val="0"/>
          <w:numId w:val="31"/>
        </w:numPr>
        <w:rPr>
          <w:lang w:eastAsia="cs-CZ"/>
        </w:rPr>
      </w:pPr>
      <w:r w:rsidRPr="007F0A4A">
        <w:rPr>
          <w:lang w:eastAsia="cs-CZ"/>
        </w:rPr>
        <w:t xml:space="preserve">Země by měly zajistit soulad svých postupů s minimálním standardem, který bude předmětem „peer </w:t>
      </w:r>
      <w:proofErr w:type="spellStart"/>
      <w:r w:rsidRPr="007F0A4A">
        <w:rPr>
          <w:lang w:eastAsia="cs-CZ"/>
        </w:rPr>
        <w:t>review</w:t>
      </w:r>
      <w:proofErr w:type="spellEnd"/>
      <w:r w:rsidRPr="007F0A4A">
        <w:rPr>
          <w:lang w:eastAsia="cs-CZ"/>
        </w:rPr>
        <w:t>“.</w:t>
      </w:r>
    </w:p>
    <w:p w:rsidR="008E04B1" w:rsidRPr="007F0A4A" w:rsidRDefault="008E04B1" w:rsidP="00C264D2">
      <w:pPr>
        <w:numPr>
          <w:ilvl w:val="0"/>
          <w:numId w:val="31"/>
        </w:numPr>
        <w:rPr>
          <w:lang w:eastAsia="cs-CZ"/>
        </w:rPr>
      </w:pPr>
      <w:r w:rsidRPr="007F0A4A">
        <w:rPr>
          <w:lang w:eastAsia="cs-CZ"/>
        </w:rPr>
        <w:t>Země by měly zajistit transparentnost s ohledem na jejich pozici v řešení případů dohodou arbitráží.</w:t>
      </w:r>
    </w:p>
    <w:p w:rsidR="008E04B1" w:rsidRPr="007F0A4A" w:rsidRDefault="008E04B1" w:rsidP="00C264D2">
      <w:pPr>
        <w:numPr>
          <w:ilvl w:val="0"/>
          <w:numId w:val="31"/>
        </w:numPr>
        <w:rPr>
          <w:lang w:eastAsia="cs-CZ"/>
        </w:rPr>
      </w:pPr>
      <w:r w:rsidRPr="007F0A4A">
        <w:rPr>
          <w:lang w:eastAsia="cs-CZ"/>
        </w:rPr>
        <w:t>Země by měly vydat pravidla týkající se přístupu a užití institutu řešení případů dohodou</w:t>
      </w:r>
      <w:r>
        <w:rPr>
          <w:lang w:eastAsia="cs-CZ"/>
        </w:rPr>
        <w:t>.</w:t>
      </w:r>
    </w:p>
    <w:p w:rsidR="008E04B1" w:rsidRPr="007F0A4A" w:rsidRDefault="008E04B1" w:rsidP="00C264D2">
      <w:pPr>
        <w:numPr>
          <w:ilvl w:val="0"/>
          <w:numId w:val="31"/>
        </w:numPr>
        <w:rPr>
          <w:lang w:eastAsia="cs-CZ"/>
        </w:rPr>
      </w:pPr>
      <w:r w:rsidRPr="007F0A4A">
        <w:rPr>
          <w:lang w:eastAsia="cs-CZ"/>
        </w:rPr>
        <w:t xml:space="preserve">Země by </w:t>
      </w:r>
      <w:proofErr w:type="gramStart"/>
      <w:r w:rsidRPr="007F0A4A">
        <w:rPr>
          <w:lang w:eastAsia="cs-CZ"/>
        </w:rPr>
        <w:t>měly</w:t>
      </w:r>
      <w:proofErr w:type="gramEnd"/>
      <w:r w:rsidRPr="007F0A4A">
        <w:rPr>
          <w:lang w:eastAsia="cs-CZ"/>
        </w:rPr>
        <w:t xml:space="preserve"> zveřejnit tzv. MAP </w:t>
      </w:r>
      <w:proofErr w:type="gramStart"/>
      <w:r w:rsidRPr="007F0A4A">
        <w:rPr>
          <w:lang w:eastAsia="cs-CZ"/>
        </w:rPr>
        <w:t>profile</w:t>
      </w:r>
      <w:proofErr w:type="gramEnd"/>
      <w:r w:rsidRPr="007F0A4A">
        <w:rPr>
          <w:lang w:eastAsia="cs-CZ"/>
        </w:rPr>
        <w:t>, což znamená např. seznam kontaktních míst apod., přičemž by za tím účelem měla být v rámci uvedeného Fóra vypracována určitá šablona.</w:t>
      </w:r>
    </w:p>
    <w:p w:rsidR="008E04B1" w:rsidRPr="007F0A4A" w:rsidRDefault="008E04B1" w:rsidP="00C264D2">
      <w:pPr>
        <w:numPr>
          <w:ilvl w:val="0"/>
          <w:numId w:val="31"/>
        </w:numPr>
        <w:rPr>
          <w:lang w:eastAsia="cs-CZ"/>
        </w:rPr>
      </w:pPr>
      <w:r w:rsidRPr="007F0A4A">
        <w:rPr>
          <w:lang w:eastAsia="cs-CZ"/>
        </w:rPr>
        <w:t xml:space="preserve">Země by měly zajistit, aby pracovníci zodpovědní za proces řešení případů dohodou měli pravomoc řešit kauzy v souladu s podmínkami aplikovatelné daňové smlouvy, zvláště bez </w:t>
      </w:r>
      <w:r w:rsidRPr="007F0A4A">
        <w:rPr>
          <w:lang w:eastAsia="cs-CZ"/>
        </w:rPr>
        <w:lastRenderedPageBreak/>
        <w:t>závislosti na schválení nebo řízení zástupců daňové správy, kteří dělají úpravy v řešených záležitostech apod.</w:t>
      </w:r>
    </w:p>
    <w:p w:rsidR="008E04B1" w:rsidRPr="007F0A4A" w:rsidRDefault="008E04B1" w:rsidP="00C264D2">
      <w:pPr>
        <w:numPr>
          <w:ilvl w:val="0"/>
          <w:numId w:val="31"/>
        </w:numPr>
        <w:rPr>
          <w:lang w:eastAsia="cs-CZ"/>
        </w:rPr>
      </w:pPr>
      <w:r w:rsidRPr="007F0A4A">
        <w:rPr>
          <w:lang w:eastAsia="cs-CZ"/>
        </w:rPr>
        <w:t>Země by neměly brát do úvahy množství uhájených daňových příjmů apod. jako indikátor kvality a úspěšnosti jejich kompetentních úřadů a potažmo odpovědného personálu za proces řešení případů dohodou.</w:t>
      </w:r>
    </w:p>
    <w:p w:rsidR="008E04B1" w:rsidRPr="007F0A4A" w:rsidRDefault="008E04B1" w:rsidP="00C264D2">
      <w:pPr>
        <w:numPr>
          <w:ilvl w:val="0"/>
          <w:numId w:val="31"/>
        </w:numPr>
        <w:rPr>
          <w:lang w:eastAsia="cs-CZ"/>
        </w:rPr>
      </w:pPr>
      <w:r w:rsidRPr="007F0A4A">
        <w:rPr>
          <w:lang w:eastAsia="cs-CZ"/>
        </w:rPr>
        <w:t>Země by měly zajistit, že jsou poskytnuty adekvátní zdroje na fungování systému řešení případů dohodou.</w:t>
      </w:r>
    </w:p>
    <w:p w:rsidR="008E04B1" w:rsidRPr="007F0A4A" w:rsidRDefault="008E04B1" w:rsidP="00C264D2">
      <w:pPr>
        <w:numPr>
          <w:ilvl w:val="0"/>
          <w:numId w:val="31"/>
        </w:numPr>
        <w:rPr>
          <w:lang w:eastAsia="cs-CZ"/>
        </w:rPr>
      </w:pPr>
      <w:r w:rsidRPr="007F0A4A">
        <w:rPr>
          <w:lang w:eastAsia="cs-CZ"/>
        </w:rPr>
        <w:t xml:space="preserve">Země by měly objasnit ve svých pravidlech pro řešení případů dohodou, že případné urovnání, dohody apod. („audit </w:t>
      </w:r>
      <w:proofErr w:type="spellStart"/>
      <w:r w:rsidRPr="007F0A4A">
        <w:rPr>
          <w:lang w:eastAsia="cs-CZ"/>
        </w:rPr>
        <w:t>settlements</w:t>
      </w:r>
      <w:proofErr w:type="spellEnd"/>
      <w:r w:rsidRPr="007F0A4A">
        <w:rPr>
          <w:lang w:eastAsia="cs-CZ"/>
        </w:rPr>
        <w:t>“) mezi daňovým úřadem a daňovým poplatníkem nezabraňuje přístupu k institutu řešení případů dohodou.</w:t>
      </w:r>
    </w:p>
    <w:p w:rsidR="008E04B1" w:rsidRPr="007F0A4A" w:rsidRDefault="008E04B1" w:rsidP="00C264D2">
      <w:pPr>
        <w:numPr>
          <w:ilvl w:val="0"/>
          <w:numId w:val="31"/>
        </w:numPr>
        <w:rPr>
          <w:lang w:eastAsia="cs-CZ"/>
        </w:rPr>
      </w:pPr>
      <w:r w:rsidRPr="007F0A4A">
        <w:rPr>
          <w:lang w:eastAsia="cs-CZ"/>
        </w:rPr>
        <w:t xml:space="preserve">Země umožňující bilaterální předběžná cenová ujednání (APA) by měly učinit opatření pro tzv. </w:t>
      </w:r>
      <w:proofErr w:type="spellStart"/>
      <w:r w:rsidRPr="007F0A4A">
        <w:rPr>
          <w:lang w:eastAsia="cs-CZ"/>
        </w:rPr>
        <w:t>roll-back</w:t>
      </w:r>
      <w:proofErr w:type="spellEnd"/>
      <w:r w:rsidRPr="007F0A4A">
        <w:rPr>
          <w:lang w:eastAsia="cs-CZ"/>
        </w:rPr>
        <w:t xml:space="preserve"> těchto </w:t>
      </w:r>
      <w:proofErr w:type="spellStart"/>
      <w:r w:rsidRPr="007F0A4A">
        <w:rPr>
          <w:lang w:eastAsia="cs-CZ"/>
        </w:rPr>
        <w:t>APAs</w:t>
      </w:r>
      <w:proofErr w:type="spellEnd"/>
      <w:r w:rsidRPr="007F0A4A">
        <w:rPr>
          <w:lang w:eastAsia="cs-CZ"/>
        </w:rPr>
        <w:t xml:space="preserve"> ve vhodných případech, s výhradou aplikovatelných časových lhůt (vyměřování apod.), kdy relevantní fakta a okolnosti v dřívějších daňových obdobích jsou nadále stejná (podmínka ověření těchto faktů a okolností).</w:t>
      </w:r>
    </w:p>
    <w:p w:rsidR="008E04B1" w:rsidRPr="007F0A4A" w:rsidRDefault="008E04B1" w:rsidP="00C264D2">
      <w:pPr>
        <w:numPr>
          <w:ilvl w:val="0"/>
          <w:numId w:val="31"/>
        </w:numPr>
        <w:rPr>
          <w:lang w:eastAsia="cs-CZ"/>
        </w:rPr>
      </w:pPr>
      <w:r w:rsidRPr="007F0A4A">
        <w:rPr>
          <w:lang w:eastAsia="cs-CZ"/>
        </w:rPr>
        <w:t xml:space="preserve">Oba kompetentní úřady by měly být </w:t>
      </w:r>
      <w:proofErr w:type="gramStart"/>
      <w:r w:rsidRPr="007F0A4A">
        <w:rPr>
          <w:lang w:eastAsia="cs-CZ"/>
        </w:rPr>
        <w:t>informováni</w:t>
      </w:r>
      <w:proofErr w:type="gramEnd"/>
      <w:r w:rsidRPr="007F0A4A">
        <w:rPr>
          <w:lang w:eastAsia="cs-CZ"/>
        </w:rPr>
        <w:t xml:space="preserve"> o předložených požadavcích na řešení případů dohodou a měly by být s to poskytnout svůj názor na to, zda by požadavek měl být přijat nebo odmítnut. Aby se toho dosáhlo, země by měly buď upravit odstavec 1 článku 25 a povolit předložit požadavek na řešení případu dohodou úřadům obou států, nebo, kde smlouva nedovoluje, aby byl požadavek na řešení případů dohodou předložen oběma státům, implementovat proces bilaterální notifikace nebo konsultace pro případy, ve kterých kompetentní orgán, kterému byla kauza předložena, nepovažuje poplatníkovi námitky za ospravedlnitelné (takové konzultace by neměly být interpretovány jako konzultace o tom, jak vyřešit případ).</w:t>
      </w:r>
    </w:p>
    <w:p w:rsidR="008E04B1" w:rsidRPr="007F0A4A" w:rsidRDefault="008E04B1" w:rsidP="00C264D2">
      <w:pPr>
        <w:numPr>
          <w:ilvl w:val="0"/>
          <w:numId w:val="31"/>
        </w:numPr>
        <w:rPr>
          <w:lang w:eastAsia="cs-CZ"/>
        </w:rPr>
      </w:pPr>
      <w:r w:rsidRPr="007F0A4A">
        <w:rPr>
          <w:lang w:eastAsia="cs-CZ"/>
        </w:rPr>
        <w:t>Zeměmi vydaná pravidla pro řešení případů dohodou by měla identifikovat specifické informace a dokumentaci, které jsou po daňovém poplatníkovi požadovány při předložení případu k jeho řešení dohodou.</w:t>
      </w:r>
    </w:p>
    <w:p w:rsidR="008E04B1" w:rsidRPr="007F0A4A" w:rsidRDefault="008E04B1" w:rsidP="00C264D2">
      <w:pPr>
        <w:numPr>
          <w:ilvl w:val="0"/>
          <w:numId w:val="31"/>
        </w:numPr>
        <w:rPr>
          <w:lang w:eastAsia="cs-CZ"/>
        </w:rPr>
      </w:pPr>
      <w:r w:rsidRPr="007F0A4A">
        <w:rPr>
          <w:lang w:eastAsia="cs-CZ"/>
        </w:rPr>
        <w:t xml:space="preserve">Země by měly vkládat do svých daňových smluv druhou větu odstavce 2 článku 25 („Jakákoliv dosažená dohoda bude uskutečněna bez ohledu na jakékoliv časové lhůty ve vnitrostátních právních předpisech smluvních států.“). Země, které </w:t>
      </w:r>
      <w:proofErr w:type="gramStart"/>
      <w:r w:rsidRPr="007F0A4A">
        <w:rPr>
          <w:lang w:eastAsia="cs-CZ"/>
        </w:rPr>
        <w:t>nemohou</w:t>
      </w:r>
      <w:proofErr w:type="gramEnd"/>
      <w:r w:rsidRPr="007F0A4A">
        <w:rPr>
          <w:lang w:eastAsia="cs-CZ"/>
        </w:rPr>
        <w:t xml:space="preserve"> vkládat tuto větu do svých daňových smluv by </w:t>
      </w:r>
      <w:proofErr w:type="gramStart"/>
      <w:r w:rsidRPr="007F0A4A">
        <w:rPr>
          <w:lang w:eastAsia="cs-CZ"/>
        </w:rPr>
        <w:t>měly</w:t>
      </w:r>
      <w:proofErr w:type="gramEnd"/>
      <w:r w:rsidRPr="007F0A4A">
        <w:rPr>
          <w:lang w:eastAsia="cs-CZ"/>
        </w:rPr>
        <w:t xml:space="preserve"> být ochotny akceptovat alternativní smluvní ustanovení, která limitují čas, během něhož lze popř. činit úpravy.</w:t>
      </w:r>
    </w:p>
    <w:p w:rsidR="008E04B1" w:rsidRDefault="008E04B1" w:rsidP="00C264D2">
      <w:pPr>
        <w:rPr>
          <w:lang w:eastAsia="cs-CZ"/>
        </w:rPr>
      </w:pPr>
      <w:r>
        <w:rPr>
          <w:lang w:eastAsia="cs-CZ"/>
        </w:rPr>
        <w:t>Vedle toho tedy akce 14 přináší 11 dalších doporučení (</w:t>
      </w:r>
      <w:proofErr w:type="spellStart"/>
      <w:r w:rsidRPr="007F0A4A">
        <w:rPr>
          <w:lang w:eastAsia="cs-CZ"/>
        </w:rPr>
        <w:t>best</w:t>
      </w:r>
      <w:proofErr w:type="spellEnd"/>
      <w:r w:rsidRPr="007F0A4A">
        <w:rPr>
          <w:lang w:eastAsia="cs-CZ"/>
        </w:rPr>
        <w:t xml:space="preserve"> </w:t>
      </w:r>
      <w:proofErr w:type="spellStart"/>
      <w:r w:rsidRPr="007F0A4A">
        <w:rPr>
          <w:lang w:eastAsia="cs-CZ"/>
        </w:rPr>
        <w:t>practices</w:t>
      </w:r>
      <w:proofErr w:type="spellEnd"/>
      <w:r>
        <w:rPr>
          <w:lang w:eastAsia="cs-CZ"/>
        </w:rPr>
        <w:t>), které nebude podrobeno monitorovacímu mechanismu.</w:t>
      </w:r>
    </w:p>
    <w:p w:rsidR="008E04B1" w:rsidRPr="007F0A4A" w:rsidRDefault="008E04B1" w:rsidP="00A063CE">
      <w:pPr>
        <w:numPr>
          <w:ilvl w:val="0"/>
          <w:numId w:val="33"/>
        </w:numPr>
        <w:rPr>
          <w:lang w:eastAsia="cs-CZ"/>
        </w:rPr>
      </w:pPr>
      <w:r w:rsidRPr="007F0A4A">
        <w:rPr>
          <w:lang w:eastAsia="cs-CZ"/>
        </w:rPr>
        <w:t>Země by měly zahrnout odst. 2 článku 9 do svých daňových smluv (zde ČR dlouhodobě uplatňuje výhradu vůči OECD Modelu, to však neznamená, že v těchto případech nelze otevřít institut řešení případů dohodou).</w:t>
      </w:r>
    </w:p>
    <w:p w:rsidR="008E04B1" w:rsidRPr="007F0A4A" w:rsidRDefault="008E04B1" w:rsidP="00A063CE">
      <w:pPr>
        <w:numPr>
          <w:ilvl w:val="0"/>
          <w:numId w:val="33"/>
        </w:numPr>
        <w:rPr>
          <w:lang w:eastAsia="cs-CZ"/>
        </w:rPr>
      </w:pPr>
      <w:r w:rsidRPr="007F0A4A">
        <w:rPr>
          <w:lang w:eastAsia="cs-CZ"/>
        </w:rPr>
        <w:t>Země by měly být s to publikovat dosažené dohody, které mohou mít dopad na aplikaci smlouvy, aby se zabránilo případným příštím sporům.</w:t>
      </w:r>
    </w:p>
    <w:p w:rsidR="008E04B1" w:rsidRPr="007F0A4A" w:rsidRDefault="008E04B1" w:rsidP="00A063CE">
      <w:pPr>
        <w:numPr>
          <w:ilvl w:val="0"/>
          <w:numId w:val="33"/>
        </w:numPr>
        <w:rPr>
          <w:lang w:eastAsia="cs-CZ"/>
        </w:rPr>
      </w:pPr>
      <w:r w:rsidRPr="007F0A4A">
        <w:rPr>
          <w:lang w:eastAsia="cs-CZ"/>
        </w:rPr>
        <w:t>Země by měly vytvořit povědomí u zástupců svých příslušných úřadů ohledně auditních a přezkumných funkcí souvisejících s mezinárodními záležitostmi, a to prostřednictvím výstupů „</w:t>
      </w:r>
      <w:proofErr w:type="spellStart"/>
      <w:r w:rsidRPr="007F0A4A">
        <w:rPr>
          <w:lang w:eastAsia="cs-CZ"/>
        </w:rPr>
        <w:t>Global</w:t>
      </w:r>
      <w:proofErr w:type="spellEnd"/>
      <w:r w:rsidRPr="007F0A4A">
        <w:rPr>
          <w:lang w:eastAsia="cs-CZ"/>
        </w:rPr>
        <w:t xml:space="preserve"> </w:t>
      </w:r>
      <w:proofErr w:type="spellStart"/>
      <w:r w:rsidRPr="007F0A4A">
        <w:rPr>
          <w:lang w:eastAsia="cs-CZ"/>
        </w:rPr>
        <w:t>Awareness</w:t>
      </w:r>
      <w:proofErr w:type="spellEnd"/>
      <w:r w:rsidRPr="007F0A4A">
        <w:rPr>
          <w:lang w:eastAsia="cs-CZ"/>
        </w:rPr>
        <w:t xml:space="preserve"> </w:t>
      </w:r>
      <w:proofErr w:type="spellStart"/>
      <w:r w:rsidRPr="007F0A4A">
        <w:rPr>
          <w:lang w:eastAsia="cs-CZ"/>
        </w:rPr>
        <w:t>Training</w:t>
      </w:r>
      <w:proofErr w:type="spellEnd"/>
      <w:r w:rsidRPr="007F0A4A">
        <w:rPr>
          <w:lang w:eastAsia="cs-CZ"/>
        </w:rPr>
        <w:t xml:space="preserve"> Module“ Fóra pro daňovou správu.</w:t>
      </w:r>
    </w:p>
    <w:p w:rsidR="008E04B1" w:rsidRPr="007F0A4A" w:rsidRDefault="008E04B1" w:rsidP="00A063CE">
      <w:pPr>
        <w:numPr>
          <w:ilvl w:val="0"/>
          <w:numId w:val="33"/>
        </w:numPr>
        <w:rPr>
          <w:lang w:eastAsia="cs-CZ"/>
        </w:rPr>
      </w:pPr>
      <w:r w:rsidRPr="007F0A4A">
        <w:rPr>
          <w:lang w:eastAsia="cs-CZ"/>
        </w:rPr>
        <w:t>Země by měly implementovat bilaterální APA programy</w:t>
      </w:r>
    </w:p>
    <w:p w:rsidR="008E04B1" w:rsidRPr="007F0A4A" w:rsidRDefault="008E04B1" w:rsidP="00A063CE">
      <w:pPr>
        <w:numPr>
          <w:ilvl w:val="0"/>
          <w:numId w:val="33"/>
        </w:numPr>
        <w:rPr>
          <w:lang w:eastAsia="cs-CZ"/>
        </w:rPr>
      </w:pPr>
      <w:r w:rsidRPr="007F0A4A">
        <w:rPr>
          <w:lang w:eastAsia="cs-CZ"/>
        </w:rPr>
        <w:t xml:space="preserve">Země by měly implementovat vhodné procedury povolující v určitých případech žádosti poplatníků na více roční rozhodnutí skrze řešení případů dohodou v případě opakujících </w:t>
      </w:r>
      <w:r w:rsidRPr="007F0A4A">
        <w:rPr>
          <w:lang w:eastAsia="cs-CZ"/>
        </w:rPr>
        <w:lastRenderedPageBreak/>
        <w:t>se záležitostí, kde relevantní fakta a okolnosti jsou stejné, s výhradou ověřování takových faktů a okolností.</w:t>
      </w:r>
    </w:p>
    <w:p w:rsidR="008E04B1" w:rsidRPr="007F0A4A" w:rsidRDefault="008E04B1" w:rsidP="00A063CE">
      <w:pPr>
        <w:numPr>
          <w:ilvl w:val="0"/>
          <w:numId w:val="33"/>
        </w:numPr>
        <w:rPr>
          <w:lang w:eastAsia="cs-CZ"/>
        </w:rPr>
      </w:pPr>
      <w:r w:rsidRPr="007F0A4A">
        <w:rPr>
          <w:lang w:eastAsia="cs-CZ"/>
        </w:rPr>
        <w:t>Země by měly přijmout odpovídající opatření k zajištění pozastavení procesu vybírání daně během období, v němž běží proces řešení případu dohodou. Takovéto pozastavení výběru by mělo být možné minimálně za stejných podmínek, které se aplikují na osoby při provádění domácích správních nebo soudních opravných prostředků.</w:t>
      </w:r>
    </w:p>
    <w:p w:rsidR="008E04B1" w:rsidRPr="007F0A4A" w:rsidRDefault="008E04B1" w:rsidP="00A063CE">
      <w:pPr>
        <w:numPr>
          <w:ilvl w:val="0"/>
          <w:numId w:val="33"/>
        </w:numPr>
        <w:rPr>
          <w:lang w:eastAsia="cs-CZ"/>
        </w:rPr>
      </w:pPr>
      <w:r w:rsidRPr="007F0A4A">
        <w:rPr>
          <w:lang w:eastAsia="cs-CZ"/>
        </w:rPr>
        <w:t>Země by měly implementovat vhodná správní opatření k ulehčení využití institutu řešení případů dohodou při všeobecné zásadě, že výběr opravných prostředků zůstává na daňovém poplatníkovi.</w:t>
      </w:r>
    </w:p>
    <w:p w:rsidR="008E04B1" w:rsidRPr="007F0A4A" w:rsidRDefault="008E04B1" w:rsidP="00A063CE">
      <w:pPr>
        <w:numPr>
          <w:ilvl w:val="0"/>
          <w:numId w:val="33"/>
        </w:numPr>
        <w:rPr>
          <w:lang w:eastAsia="cs-CZ"/>
        </w:rPr>
      </w:pPr>
      <w:r w:rsidRPr="007F0A4A">
        <w:rPr>
          <w:lang w:eastAsia="cs-CZ"/>
        </w:rPr>
        <w:t>Země by měly zahrnout do jejich pravidel pro řešení případů dohodou vysvětlení vztahu mezi řešením případu dohodou a domácími opravnými prostředky (právní závaznost soudního rozhodnutí, možnost se od něj odchýlit v rámci řešení případu dohodou apod.).</w:t>
      </w:r>
    </w:p>
    <w:p w:rsidR="008E04B1" w:rsidRPr="007F0A4A" w:rsidRDefault="008E04B1" w:rsidP="00A063CE">
      <w:pPr>
        <w:numPr>
          <w:ilvl w:val="0"/>
          <w:numId w:val="33"/>
        </w:numPr>
        <w:rPr>
          <w:lang w:eastAsia="cs-CZ"/>
        </w:rPr>
      </w:pPr>
      <w:r w:rsidRPr="007F0A4A">
        <w:rPr>
          <w:lang w:eastAsia="cs-CZ"/>
        </w:rPr>
        <w:t>Zeměmi publikovaná pravidla ohledně řešení případů dohodou by měla zajistit, že daňoví poplatníci budou mít povolený přístup k řešení případů dohodou v </w:t>
      </w:r>
      <w:proofErr w:type="gramStart"/>
      <w:r w:rsidRPr="007F0A4A">
        <w:rPr>
          <w:lang w:eastAsia="cs-CZ"/>
        </w:rPr>
        <w:t>bona</w:t>
      </w:r>
      <w:proofErr w:type="gramEnd"/>
      <w:r w:rsidRPr="007F0A4A">
        <w:rPr>
          <w:lang w:eastAsia="cs-CZ"/>
        </w:rPr>
        <w:t xml:space="preserve"> fide případech, kdy daňový poplatník iniciuje zahraniční úpravy, následkem kterých může vzniknout dvojí zdanění.</w:t>
      </w:r>
    </w:p>
    <w:p w:rsidR="008E04B1" w:rsidRPr="007F0A4A" w:rsidRDefault="008E04B1" w:rsidP="00A063CE">
      <w:pPr>
        <w:numPr>
          <w:ilvl w:val="0"/>
          <w:numId w:val="33"/>
        </w:numPr>
        <w:rPr>
          <w:lang w:eastAsia="cs-CZ"/>
        </w:rPr>
      </w:pPr>
      <w:r w:rsidRPr="007F0A4A">
        <w:rPr>
          <w:lang w:eastAsia="cs-CZ"/>
        </w:rPr>
        <w:t>Zeměmi publikovaná pravidla ohledně řešení případů dohodou by měla obsahovat přístupy týkající se zacházení s úroky a penále</w:t>
      </w:r>
    </w:p>
    <w:p w:rsidR="008E04B1" w:rsidRDefault="008E04B1" w:rsidP="00A063CE">
      <w:pPr>
        <w:numPr>
          <w:ilvl w:val="0"/>
          <w:numId w:val="33"/>
        </w:numPr>
        <w:rPr>
          <w:lang w:eastAsia="cs-CZ"/>
        </w:rPr>
      </w:pPr>
      <w:r w:rsidRPr="007F0A4A">
        <w:rPr>
          <w:lang w:eastAsia="cs-CZ"/>
        </w:rPr>
        <w:t>Zeměmi publikovaná pravidla ohledně řešení případů dohodou by měla obsahovat přístupy týkající se multilaterálních řešení případů dohodou a předběžných cenových dohod (APA).</w:t>
      </w:r>
    </w:p>
    <w:p w:rsidR="008E04B1" w:rsidRDefault="008E04B1" w:rsidP="005E613E">
      <w:pPr>
        <w:rPr>
          <w:lang w:eastAsia="cs-CZ"/>
        </w:rPr>
      </w:pPr>
      <w:r w:rsidRPr="005E613E">
        <w:rPr>
          <w:lang w:eastAsia="cs-CZ"/>
        </w:rPr>
        <w:t xml:space="preserve">Akce 14 rovněž pojednává o povinné závazné arbitráži, avšak </w:t>
      </w:r>
      <w:r>
        <w:rPr>
          <w:lang w:eastAsia="cs-CZ"/>
        </w:rPr>
        <w:t>tato problematika, k jejíž aplikaci se přihlásilo doposud pouze 20 zemí, není zařazena ani do minimálního standardu, ani do skupiny tzv. „</w:t>
      </w:r>
      <w:proofErr w:type="spellStart"/>
      <w:r>
        <w:rPr>
          <w:lang w:eastAsia="cs-CZ"/>
        </w:rPr>
        <w:t>best</w:t>
      </w:r>
      <w:proofErr w:type="spellEnd"/>
      <w:r>
        <w:rPr>
          <w:lang w:eastAsia="cs-CZ"/>
        </w:rPr>
        <w:t xml:space="preserve"> </w:t>
      </w:r>
      <w:proofErr w:type="spellStart"/>
      <w:r>
        <w:rPr>
          <w:lang w:eastAsia="cs-CZ"/>
        </w:rPr>
        <w:t>practices</w:t>
      </w:r>
      <w:proofErr w:type="spellEnd"/>
      <w:r>
        <w:rPr>
          <w:lang w:eastAsia="cs-CZ"/>
        </w:rPr>
        <w:t>“, nicméně je řešena v rámci akce 15.</w:t>
      </w:r>
    </w:p>
    <w:p w:rsidR="008E04B1" w:rsidRPr="007F0A4A" w:rsidRDefault="008E04B1" w:rsidP="00D772BA">
      <w:pPr>
        <w:pStyle w:val="Nadpis3"/>
      </w:pPr>
      <w:r>
        <w:t>Aplikace v ČR</w:t>
      </w:r>
    </w:p>
    <w:p w:rsidR="008E04B1" w:rsidRDefault="008E04B1" w:rsidP="00D772BA">
      <w:r>
        <w:t xml:space="preserve">V </w:t>
      </w:r>
      <w:r w:rsidRPr="006A20E3">
        <w:t>České republice již většina daných opatření historicky funguje</w:t>
      </w:r>
      <w:r>
        <w:t>,</w:t>
      </w:r>
      <w:r w:rsidRPr="006A20E3">
        <w:t xml:space="preserve"> Česká republika v dané souvislosti své povinnosti vyplývající z jednotlivých smluv o zamezení dvojímu zdanění plní, o čemž svědčí mnoho sporných případ</w:t>
      </w:r>
      <w:r>
        <w:t>ů</w:t>
      </w:r>
      <w:r w:rsidRPr="006A20E3">
        <w:t xml:space="preserve">, které již byly v součinnosti se zahraničními daňovými správami vyřešeny, popř. se v tuto chvíli </w:t>
      </w:r>
      <w:r>
        <w:t xml:space="preserve">nadále </w:t>
      </w:r>
      <w:r w:rsidRPr="006A20E3">
        <w:t>řeší.</w:t>
      </w:r>
      <w:r>
        <w:t xml:space="preserve"> Platí, že body stanovené minimálním standardem, které souvisejí se samotným textem smluv, jsou již implementovány </w:t>
      </w:r>
      <w:r w:rsidRPr="007F0A4A">
        <w:t xml:space="preserve">do české modelové smlouvy a </w:t>
      </w:r>
      <w:r>
        <w:t xml:space="preserve">jsou prosazovány </w:t>
      </w:r>
      <w:r w:rsidRPr="007F0A4A">
        <w:t>při dvoustranných jednáních.</w:t>
      </w:r>
    </w:p>
    <w:p w:rsidR="008E04B1" w:rsidRDefault="008E04B1" w:rsidP="00D772BA">
      <w:r w:rsidRPr="000740E8">
        <w:t>Co se týče povinné</w:t>
      </w:r>
      <w:r>
        <w:t xml:space="preserve"> </w:t>
      </w:r>
      <w:r w:rsidRPr="000740E8">
        <w:t xml:space="preserve">závazné arbitráže, </w:t>
      </w:r>
      <w:r>
        <w:t xml:space="preserve">žádná smlouva </w:t>
      </w:r>
      <w:r w:rsidRPr="000740E8">
        <w:t xml:space="preserve">ČR dosud </w:t>
      </w:r>
      <w:r>
        <w:t>předmětné ustanovení neobsahuje a ani není ČR navrhováno. V tuto chvíli bude třeba znovu tuto otázku posoudit a rozhodnout, zda se přístup ČR změní či nikoliv, přičemž by měly být brány do úvahy např. zkušenosti s praktickou aplikací Arbitrážní konvence EU.</w:t>
      </w:r>
      <w:r w:rsidRPr="000102B8">
        <w:t xml:space="preserve"> </w:t>
      </w:r>
      <w:r>
        <w:t xml:space="preserve">Cílem je jasná „transparentnost“, </w:t>
      </w:r>
      <w:proofErr w:type="gramStart"/>
      <w:r>
        <w:t>tj., aby</w:t>
      </w:r>
      <w:proofErr w:type="gramEnd"/>
      <w:r>
        <w:t xml:space="preserve"> jednotlivé zúčastněné státy jednoznačně vyjádřily svou pozici, zda arbitráž chtějí či nikoliv, popř. v jaké formě jsou ochotny ji do smluv zařazovat apod.</w:t>
      </w:r>
    </w:p>
    <w:p w:rsidR="008E04B1" w:rsidRDefault="008E04B1" w:rsidP="00D772BA">
      <w:pPr>
        <w:pStyle w:val="Nadpis3"/>
      </w:pPr>
      <w:r>
        <w:t>Předpoklad realizace</w:t>
      </w:r>
    </w:p>
    <w:p w:rsidR="008E04B1" w:rsidRPr="00A063CE" w:rsidRDefault="008E04B1" w:rsidP="00A063CE">
      <w:pPr>
        <w:rPr>
          <w:lang w:eastAsia="cs-CZ"/>
        </w:rPr>
      </w:pPr>
      <w:r>
        <w:t>N</w:t>
      </w:r>
      <w:r w:rsidRPr="007F0A4A">
        <w:t xml:space="preserve">ěkteré z výše uvedených opatření jsou již ČR </w:t>
      </w:r>
      <w:r>
        <w:t>implementovány (viz výše), některé body standardu budou průběžně zohledňovány</w:t>
      </w:r>
      <w:r w:rsidRPr="007F0A4A">
        <w:t xml:space="preserve">. </w:t>
      </w:r>
    </w:p>
    <w:p w:rsidR="008E04B1" w:rsidRPr="007F0A4A" w:rsidRDefault="008E04B1" w:rsidP="005A37BD">
      <w:pPr>
        <w:pStyle w:val="Nadpis2"/>
        <w:spacing w:before="120"/>
      </w:pPr>
      <w:bookmarkStart w:id="18" w:name="_Toc448736167"/>
      <w:r w:rsidRPr="007F0A4A">
        <w:lastRenderedPageBreak/>
        <w:t>Akce 15: Mnohostranný nástroj pro změnu dvoustranných daňových smluv</w:t>
      </w:r>
      <w:bookmarkEnd w:id="18"/>
    </w:p>
    <w:p w:rsidR="008E04B1" w:rsidRPr="007F0A4A" w:rsidRDefault="008E04B1" w:rsidP="008F6DEF">
      <w:pPr>
        <w:pStyle w:val="Nadpis3"/>
      </w:pPr>
      <w:r>
        <w:t>Popis problému</w:t>
      </w:r>
    </w:p>
    <w:p w:rsidR="008E04B1" w:rsidRPr="007F0A4A" w:rsidRDefault="008E04B1" w:rsidP="008F6DEF">
      <w:pPr>
        <w:rPr>
          <w:lang w:eastAsia="cs-CZ"/>
        </w:rPr>
      </w:pPr>
      <w:r>
        <w:rPr>
          <w:lang w:eastAsia="cs-CZ"/>
        </w:rPr>
        <w:t xml:space="preserve">Řada výše uvedených Akcí projektu BEPS přináší změny Modelové </w:t>
      </w:r>
      <w:r w:rsidRPr="0043441F">
        <w:rPr>
          <w:lang w:eastAsia="cs-CZ"/>
        </w:rPr>
        <w:t>smlouv</w:t>
      </w:r>
      <w:r>
        <w:rPr>
          <w:lang w:eastAsia="cs-CZ"/>
        </w:rPr>
        <w:t>y. Aby tyto změny však začaly být skutečně používány v praxi, je třeba je implementovat do jednotlivých bilaterálních daňových smluv. Na světě bylo již celkem sjednáno přes 3600 dvoustranných smluv a jejich postupná změna by trvala velmi dlouho.</w:t>
      </w:r>
    </w:p>
    <w:p w:rsidR="008E04B1" w:rsidRPr="007F0A4A" w:rsidRDefault="008E04B1" w:rsidP="008F6DEF">
      <w:pPr>
        <w:pStyle w:val="Nadpis3"/>
      </w:pPr>
      <w:r>
        <w:t>Návrh řešení OECD</w:t>
      </w:r>
    </w:p>
    <w:p w:rsidR="008E04B1" w:rsidRDefault="008E04B1" w:rsidP="005A37BD">
      <w:pPr>
        <w:rPr>
          <w:lang w:eastAsia="cs-CZ"/>
        </w:rPr>
      </w:pPr>
      <w:r>
        <w:rPr>
          <w:lang w:eastAsia="cs-CZ"/>
        </w:rPr>
        <w:t xml:space="preserve">Akce 15 proto navrhuje </w:t>
      </w:r>
      <w:r w:rsidRPr="00427D48">
        <w:rPr>
          <w:lang w:eastAsia="cs-CZ"/>
        </w:rPr>
        <w:t xml:space="preserve">vyvinout mnohostranný nástroj, který bude klíčem k implementaci </w:t>
      </w:r>
      <w:r>
        <w:rPr>
          <w:lang w:eastAsia="cs-CZ"/>
        </w:rPr>
        <w:t xml:space="preserve">výše uvedených doporučení </w:t>
      </w:r>
      <w:r w:rsidRPr="00427D48">
        <w:rPr>
          <w:lang w:eastAsia="cs-CZ"/>
        </w:rPr>
        <w:t>projektu BEPS a který případně umožní jednotlivým zemím a jurisdikcím rychlou změnu jejich existujících bilaterálních smluv nákladově</w:t>
      </w:r>
      <w:r>
        <w:rPr>
          <w:lang w:eastAsia="cs-CZ"/>
        </w:rPr>
        <w:t xml:space="preserve"> efektivním a účinným způsobem </w:t>
      </w:r>
      <w:r w:rsidRPr="00427D48">
        <w:rPr>
          <w:lang w:eastAsia="cs-CZ"/>
        </w:rPr>
        <w:t xml:space="preserve">v porovnání s případnou potřebou </w:t>
      </w:r>
      <w:proofErr w:type="spellStart"/>
      <w:r w:rsidRPr="00427D48">
        <w:rPr>
          <w:lang w:eastAsia="cs-CZ"/>
        </w:rPr>
        <w:t>renegociace</w:t>
      </w:r>
      <w:proofErr w:type="spellEnd"/>
      <w:r w:rsidRPr="00427D48">
        <w:rPr>
          <w:lang w:eastAsia="cs-CZ"/>
        </w:rPr>
        <w:t xml:space="preserve"> jednotlivých smluv.</w:t>
      </w:r>
    </w:p>
    <w:p w:rsidR="008E04B1" w:rsidRPr="00427D48" w:rsidRDefault="008E04B1" w:rsidP="00AE6A4A">
      <w:pPr>
        <w:rPr>
          <w:lang w:eastAsia="cs-CZ"/>
        </w:rPr>
      </w:pPr>
      <w:r w:rsidRPr="00AE6A4A">
        <w:rPr>
          <w:lang w:eastAsia="cs-CZ"/>
        </w:rPr>
        <w:t>Nejedná se o minimální standard, nýbrž o možnost, kterou státy</w:t>
      </w:r>
      <w:r>
        <w:rPr>
          <w:lang w:eastAsia="cs-CZ"/>
        </w:rPr>
        <w:t xml:space="preserve"> mohou, ale nemusí využít</w:t>
      </w:r>
      <w:r w:rsidRPr="00427D48">
        <w:rPr>
          <w:lang w:eastAsia="cs-CZ"/>
        </w:rPr>
        <w:t>.</w:t>
      </w:r>
    </w:p>
    <w:p w:rsidR="008E04B1" w:rsidRPr="007F0A4A" w:rsidRDefault="008E04B1" w:rsidP="00427D48">
      <w:pPr>
        <w:pStyle w:val="Nadpis3"/>
      </w:pPr>
      <w:r>
        <w:t>Aplikace v ČR</w:t>
      </w:r>
    </w:p>
    <w:p w:rsidR="008E04B1" w:rsidRPr="007F0A4A" w:rsidRDefault="008E04B1" w:rsidP="00AE6A4A">
      <w:pPr>
        <w:rPr>
          <w:lang w:eastAsia="cs-CZ"/>
        </w:rPr>
      </w:pPr>
      <w:r w:rsidRPr="00427D48">
        <w:rPr>
          <w:lang w:eastAsia="cs-CZ"/>
        </w:rPr>
        <w:t xml:space="preserve">Jedná se o velmi ambiciózní projekt především s ohledem na to, že </w:t>
      </w:r>
      <w:r>
        <w:rPr>
          <w:lang w:eastAsia="cs-CZ"/>
        </w:rPr>
        <w:t xml:space="preserve">existující </w:t>
      </w:r>
      <w:r w:rsidRPr="00427D48">
        <w:rPr>
          <w:lang w:eastAsia="cs-CZ"/>
        </w:rPr>
        <w:t>sml</w:t>
      </w:r>
      <w:r>
        <w:rPr>
          <w:lang w:eastAsia="cs-CZ"/>
        </w:rPr>
        <w:t xml:space="preserve">ouvy o zamezení dvojímu zdanění jsou často </w:t>
      </w:r>
      <w:r w:rsidRPr="007F0A4A">
        <w:rPr>
          <w:lang w:eastAsia="cs-CZ"/>
        </w:rPr>
        <w:t>vzájemně velmi odlišné.</w:t>
      </w:r>
      <w:r>
        <w:rPr>
          <w:lang w:eastAsia="cs-CZ"/>
        </w:rPr>
        <w:t xml:space="preserve"> </w:t>
      </w:r>
    </w:p>
    <w:p w:rsidR="008E04B1" w:rsidRPr="00AE6A4A" w:rsidRDefault="008E04B1" w:rsidP="00AE6A4A">
      <w:pPr>
        <w:rPr>
          <w:lang w:eastAsia="cs-CZ"/>
        </w:rPr>
      </w:pPr>
      <w:r w:rsidRPr="00AE6A4A">
        <w:rPr>
          <w:lang w:eastAsia="cs-CZ"/>
        </w:rPr>
        <w:t>V této fázi nejsou jasná ani technická řešení daných problémů, ani řešení legislativní. Je zřejmé, že mnohostranný nástroj nemůže být současně jednoduchý, flexibilní a stabilní, když některé závěry projektu BEPS např. přinášejí několik možných způsobů řešení (kontext problematik</w:t>
      </w:r>
      <w:r>
        <w:rPr>
          <w:lang w:eastAsia="cs-CZ"/>
        </w:rPr>
        <w:t>y</w:t>
      </w:r>
      <w:r w:rsidRPr="00AE6A4A">
        <w:rPr>
          <w:lang w:eastAsia="cs-CZ"/>
        </w:rPr>
        <w:t xml:space="preserve"> </w:t>
      </w:r>
      <w:proofErr w:type="spellStart"/>
      <w:r w:rsidRPr="00AE6A4A">
        <w:rPr>
          <w:lang w:eastAsia="cs-CZ"/>
        </w:rPr>
        <w:t>opt-out</w:t>
      </w:r>
      <w:proofErr w:type="spellEnd"/>
      <w:r w:rsidRPr="00AE6A4A">
        <w:rPr>
          <w:lang w:eastAsia="cs-CZ"/>
        </w:rPr>
        <w:t xml:space="preserve">, </w:t>
      </w:r>
      <w:proofErr w:type="spellStart"/>
      <w:r w:rsidRPr="00AE6A4A">
        <w:rPr>
          <w:lang w:eastAsia="cs-CZ"/>
        </w:rPr>
        <w:t>opt</w:t>
      </w:r>
      <w:proofErr w:type="spellEnd"/>
      <w:r w:rsidRPr="00AE6A4A">
        <w:rPr>
          <w:lang w:eastAsia="cs-CZ"/>
        </w:rPr>
        <w:t>-in apod.).</w:t>
      </w:r>
    </w:p>
    <w:p w:rsidR="008E04B1" w:rsidRPr="00AE6A4A" w:rsidRDefault="008E04B1" w:rsidP="00AE6A4A">
      <w:pPr>
        <w:rPr>
          <w:lang w:eastAsia="cs-CZ"/>
        </w:rPr>
      </w:pPr>
      <w:r w:rsidRPr="00AE6A4A">
        <w:rPr>
          <w:lang w:eastAsia="cs-CZ"/>
        </w:rPr>
        <w:t>Jako alternativa se nabízí možnost asymetrické aplikace jednotlivých ustanovení, kdy by tatáž problematika byla dvěma různými státy v rámci jedné smlouvy řešena odlišně.</w:t>
      </w:r>
    </w:p>
    <w:p w:rsidR="008E04B1" w:rsidRPr="00AE6A4A" w:rsidRDefault="008E04B1" w:rsidP="00AE6A4A">
      <w:pPr>
        <w:rPr>
          <w:lang w:eastAsia="cs-CZ"/>
        </w:rPr>
      </w:pPr>
      <w:r w:rsidRPr="00AE6A4A">
        <w:rPr>
          <w:lang w:eastAsia="cs-CZ"/>
        </w:rPr>
        <w:t>Je v tuto chvíli zřejmé, že v rámci vyvinutí mnohostranného nástroje existuje nyní více problémů než řešení. Nicméně na konkrétní hodnocení je příliš brzy.</w:t>
      </w:r>
    </w:p>
    <w:p w:rsidR="008E04B1" w:rsidRPr="007F0A4A" w:rsidRDefault="008E04B1" w:rsidP="007E2AA7">
      <w:pPr>
        <w:pStyle w:val="Nadpis3"/>
      </w:pPr>
      <w:r>
        <w:t>Předpoklad realizace</w:t>
      </w:r>
    </w:p>
    <w:p w:rsidR="008E04B1" w:rsidRDefault="008E04B1" w:rsidP="006E2097">
      <w:pPr>
        <w:rPr>
          <w:szCs w:val="24"/>
        </w:rPr>
      </w:pPr>
      <w:r w:rsidRPr="007F0A4A">
        <w:rPr>
          <w:lang w:eastAsia="cs-CZ"/>
        </w:rPr>
        <w:t>Pracovní skupin</w:t>
      </w:r>
      <w:r>
        <w:rPr>
          <w:lang w:eastAsia="cs-CZ"/>
        </w:rPr>
        <w:t>a</w:t>
      </w:r>
      <w:r w:rsidRPr="007F0A4A">
        <w:rPr>
          <w:lang w:eastAsia="cs-CZ"/>
        </w:rPr>
        <w:t xml:space="preserve"> k mnohostrannému nástroji </w:t>
      </w:r>
      <w:r>
        <w:rPr>
          <w:lang w:eastAsia="cs-CZ"/>
        </w:rPr>
        <w:t xml:space="preserve">se sešla teprve 2x, </w:t>
      </w:r>
      <w:r>
        <w:rPr>
          <w:szCs w:val="24"/>
        </w:rPr>
        <w:t>s tím, že v rámci posledního únorového zasedání Sekretariát představil vlastní „kostru“ multilaterálního nástroje, která je tvořena preambulí a sedmi kapitolami, které zahrnují v kontextu výsledků práce na projektu BEPS především problematiky hybridů (články 3 – 5), zneužití smlouvy (články 6 – 11), vyhnutí se statusu stálé provozovny (články 12 – 15), zlepšení institutu řešení případů dohodou (články 16 a 17) a případnou arbitráž (článek 18).</w:t>
      </w:r>
    </w:p>
    <w:p w:rsidR="008E04B1" w:rsidRPr="007F0A4A" w:rsidRDefault="008E04B1" w:rsidP="00F2162F">
      <w:r>
        <w:rPr>
          <w:sz w:val="22"/>
        </w:rPr>
        <w:t>V</w:t>
      </w:r>
      <w:r w:rsidRPr="007F0A4A">
        <w:t xml:space="preserve"> současné době se na práci skupiny podílí </w:t>
      </w:r>
      <w:r>
        <w:t xml:space="preserve">zástupci </w:t>
      </w:r>
      <w:r w:rsidRPr="007F0A4A">
        <w:t>9</w:t>
      </w:r>
      <w:r>
        <w:t>5</w:t>
      </w:r>
      <w:r w:rsidRPr="007F0A4A">
        <w:t xml:space="preserve"> států </w:t>
      </w:r>
      <w:r>
        <w:t xml:space="preserve">světa </w:t>
      </w:r>
      <w:r w:rsidRPr="007F0A4A">
        <w:t xml:space="preserve">a plánují </w:t>
      </w:r>
      <w:r>
        <w:t xml:space="preserve">se další </w:t>
      </w:r>
      <w:r w:rsidRPr="007F0A4A">
        <w:t xml:space="preserve">zasedání </w:t>
      </w:r>
      <w:r>
        <w:t xml:space="preserve">skupiny (nejdříve nejspíše v květnu </w:t>
      </w:r>
      <w:r w:rsidRPr="007F0A4A">
        <w:t>2016</w:t>
      </w:r>
      <w:r>
        <w:t xml:space="preserve">). </w:t>
      </w:r>
      <w:r w:rsidRPr="007F0A4A">
        <w:t xml:space="preserve">Mnohostranný nástroj má být </w:t>
      </w:r>
      <w:r>
        <w:t xml:space="preserve">přitom </w:t>
      </w:r>
      <w:r w:rsidRPr="007F0A4A">
        <w:t>dokončen</w:t>
      </w:r>
      <w:r>
        <w:t xml:space="preserve"> již</w:t>
      </w:r>
      <w:r w:rsidRPr="007F0A4A">
        <w:t xml:space="preserve"> do konce roku 2016</w:t>
      </w:r>
      <w:r>
        <w:t xml:space="preserve">, nicméně je třeba zdůraznit, že se v tuto chvíli zdá, že většina problémů bude muset být stejně řešena na úrovni bilaterální. V souvislosti s tím, jak se objevují nové problémy a jak se vyvíjí práce v rámci skupiny, lze konstatovat, že pro státy, které mají v platnosti mnoho smluv, bude případné řešení problematiky prostřednictvím </w:t>
      </w:r>
      <w:r w:rsidR="008E72B5">
        <w:t xml:space="preserve">mnohostranného </w:t>
      </w:r>
      <w:r>
        <w:t xml:space="preserve">nástroje komplikovanější, než pro ty státy, které nemají síť smluv tak rozsáhlou, a to jak v kontextu různorodosti textů smluv, tak i v kontextu problémů (výhrady, </w:t>
      </w:r>
      <w:proofErr w:type="spellStart"/>
      <w:r>
        <w:t>opt</w:t>
      </w:r>
      <w:proofErr w:type="spellEnd"/>
      <w:r>
        <w:t xml:space="preserve">-in, </w:t>
      </w:r>
      <w:proofErr w:type="spellStart"/>
      <w:r>
        <w:t>opt-out</w:t>
      </w:r>
      <w:proofErr w:type="spellEnd"/>
      <w:r>
        <w:t xml:space="preserve">, asymetrie), které bude potřeba tak jako tak řešit bilaterálně. </w:t>
      </w:r>
      <w:r w:rsidR="008E72B5">
        <w:t>V</w:t>
      </w:r>
      <w:r>
        <w:t xml:space="preserve"> tuto chvíli </w:t>
      </w:r>
      <w:r w:rsidR="008E72B5">
        <w:t xml:space="preserve">není </w:t>
      </w:r>
      <w:r>
        <w:t>ani jasné, kt</w:t>
      </w:r>
      <w:r w:rsidR="00FC3E11">
        <w:t>eré státy nakonec do instrumentu</w:t>
      </w:r>
      <w:r>
        <w:t xml:space="preserve"> vstoupí a které nikoliv.</w:t>
      </w:r>
    </w:p>
    <w:p w:rsidR="008E04B1" w:rsidRPr="007F0A4A" w:rsidRDefault="008E04B1" w:rsidP="005A37BD">
      <w:pPr>
        <w:pStyle w:val="Nadpis1"/>
      </w:pPr>
      <w:bookmarkStart w:id="19" w:name="_Toc448736168"/>
      <w:r>
        <w:lastRenderedPageBreak/>
        <w:t>Směrnice proti vyhýbání se daňovým povinnostem</w:t>
      </w:r>
      <w:r w:rsidRPr="007F0A4A">
        <w:br/>
        <w:t>(ATA</w:t>
      </w:r>
      <w:r>
        <w:t>D</w:t>
      </w:r>
      <w:r w:rsidRPr="007F0A4A">
        <w:t>)</w:t>
      </w:r>
      <w:bookmarkEnd w:id="19"/>
    </w:p>
    <w:p w:rsidR="008E04B1" w:rsidRDefault="008E04B1" w:rsidP="005A37BD">
      <w:pPr>
        <w:pStyle w:val="Nadpis2"/>
        <w:spacing w:before="120"/>
      </w:pPr>
      <w:bookmarkStart w:id="20" w:name="_Toc448736169"/>
      <w:r w:rsidRPr="007F0A4A">
        <w:lastRenderedPageBreak/>
        <w:t>Úvod</w:t>
      </w:r>
      <w:bookmarkEnd w:id="20"/>
    </w:p>
    <w:p w:rsidR="008E04B1" w:rsidRDefault="008E04B1" w:rsidP="00285D9C">
      <w:pPr>
        <w:rPr>
          <w:lang w:eastAsia="cs-CZ"/>
        </w:rPr>
      </w:pPr>
      <w:r w:rsidRPr="003B625B">
        <w:rPr>
          <w:lang w:eastAsia="cs-CZ"/>
        </w:rPr>
        <w:t>Kapitola</w:t>
      </w:r>
      <w:r>
        <w:rPr>
          <w:lang w:eastAsia="cs-CZ"/>
        </w:rPr>
        <w:t xml:space="preserve"> 3 obsahuje popis hlavních návrhů obsažených ve směrnici proti vyhýbání se daňovým povinnostem zveřejněným Evropskou komisí v lednu 2016. Směrnice obsahuje tyto návrhy</w:t>
      </w:r>
    </w:p>
    <w:p w:rsidR="008E04B1" w:rsidRPr="000E03FC" w:rsidRDefault="008E04B1" w:rsidP="00CE2DD4">
      <w:pPr>
        <w:numPr>
          <w:ilvl w:val="0"/>
          <w:numId w:val="38"/>
        </w:numPr>
        <w:rPr>
          <w:lang w:eastAsia="cs-CZ"/>
        </w:rPr>
      </w:pPr>
      <w:r>
        <w:rPr>
          <w:lang w:eastAsia="cs-CZ"/>
        </w:rPr>
        <w:t>článek 4: O</w:t>
      </w:r>
      <w:r w:rsidRPr="000E03FC">
        <w:rPr>
          <w:lang w:eastAsia="cs-CZ"/>
        </w:rPr>
        <w:t>mezení odečitatelnosti úroků</w:t>
      </w:r>
      <w:r>
        <w:rPr>
          <w:lang w:eastAsia="cs-CZ"/>
        </w:rPr>
        <w:t>,</w:t>
      </w:r>
    </w:p>
    <w:p w:rsidR="008E04B1" w:rsidRDefault="008E04B1" w:rsidP="00CE2DD4">
      <w:pPr>
        <w:numPr>
          <w:ilvl w:val="0"/>
          <w:numId w:val="38"/>
        </w:numPr>
        <w:rPr>
          <w:lang w:eastAsia="cs-CZ"/>
        </w:rPr>
      </w:pPr>
      <w:r w:rsidRPr="000E03FC">
        <w:rPr>
          <w:lang w:eastAsia="cs-CZ"/>
        </w:rPr>
        <w:t>článek 5: Zdanění při odchodu</w:t>
      </w:r>
      <w:r>
        <w:rPr>
          <w:lang w:eastAsia="cs-CZ"/>
        </w:rPr>
        <w:t>,</w:t>
      </w:r>
    </w:p>
    <w:p w:rsidR="008E04B1" w:rsidRPr="000E03FC" w:rsidRDefault="008E04B1" w:rsidP="00CE2DD4">
      <w:pPr>
        <w:numPr>
          <w:ilvl w:val="0"/>
          <w:numId w:val="38"/>
        </w:numPr>
        <w:rPr>
          <w:lang w:eastAsia="cs-CZ"/>
        </w:rPr>
      </w:pPr>
      <w:r w:rsidRPr="000E03FC">
        <w:rPr>
          <w:lang w:eastAsia="cs-CZ"/>
        </w:rPr>
        <w:t>článek 6: Případy, kdy se osvobození neuplatní (</w:t>
      </w:r>
      <w:proofErr w:type="spellStart"/>
      <w:r w:rsidRPr="000E03FC">
        <w:rPr>
          <w:lang w:eastAsia="cs-CZ"/>
        </w:rPr>
        <w:t>switch-over</w:t>
      </w:r>
      <w:proofErr w:type="spellEnd"/>
      <w:r w:rsidRPr="000E03FC">
        <w:rPr>
          <w:lang w:eastAsia="cs-CZ"/>
        </w:rPr>
        <w:t xml:space="preserve"> </w:t>
      </w:r>
      <w:proofErr w:type="spellStart"/>
      <w:r w:rsidRPr="000E03FC">
        <w:rPr>
          <w:lang w:eastAsia="cs-CZ"/>
        </w:rPr>
        <w:t>clause</w:t>
      </w:r>
      <w:proofErr w:type="spellEnd"/>
      <w:r w:rsidRPr="000E03FC">
        <w:rPr>
          <w:lang w:eastAsia="cs-CZ"/>
        </w:rPr>
        <w:t>)</w:t>
      </w:r>
      <w:r>
        <w:rPr>
          <w:lang w:eastAsia="cs-CZ"/>
        </w:rPr>
        <w:t>,</w:t>
      </w:r>
    </w:p>
    <w:p w:rsidR="008E04B1" w:rsidRDefault="008E04B1" w:rsidP="00CE2DD4">
      <w:pPr>
        <w:numPr>
          <w:ilvl w:val="0"/>
          <w:numId w:val="38"/>
        </w:numPr>
        <w:rPr>
          <w:lang w:eastAsia="cs-CZ"/>
        </w:rPr>
      </w:pPr>
      <w:r w:rsidRPr="000E03FC">
        <w:rPr>
          <w:lang w:eastAsia="cs-CZ"/>
        </w:rPr>
        <w:t>článek 7: Obecné pravidlo proti zneužívání (GAAR)</w:t>
      </w:r>
      <w:r>
        <w:rPr>
          <w:lang w:eastAsia="cs-CZ"/>
        </w:rPr>
        <w:t>,</w:t>
      </w:r>
    </w:p>
    <w:p w:rsidR="008E04B1" w:rsidRPr="000E03FC" w:rsidRDefault="008E04B1" w:rsidP="00CE2DD4">
      <w:pPr>
        <w:numPr>
          <w:ilvl w:val="0"/>
          <w:numId w:val="38"/>
        </w:numPr>
        <w:rPr>
          <w:lang w:eastAsia="cs-CZ"/>
        </w:rPr>
      </w:pPr>
      <w:r>
        <w:rPr>
          <w:lang w:eastAsia="cs-CZ"/>
        </w:rPr>
        <w:t>článek 8: P</w:t>
      </w:r>
      <w:r w:rsidRPr="000E03FC">
        <w:rPr>
          <w:lang w:eastAsia="cs-CZ"/>
        </w:rPr>
        <w:t>ravidl</w:t>
      </w:r>
      <w:r>
        <w:rPr>
          <w:lang w:eastAsia="cs-CZ"/>
        </w:rPr>
        <w:t>a</w:t>
      </w:r>
      <w:r w:rsidRPr="000E03FC">
        <w:rPr>
          <w:lang w:eastAsia="cs-CZ"/>
        </w:rPr>
        <w:t xml:space="preserve"> pro zdaňování ovládaných zahraničních společností (CFC pravidla)</w:t>
      </w:r>
      <w:r>
        <w:rPr>
          <w:lang w:eastAsia="cs-CZ"/>
        </w:rPr>
        <w:t>,</w:t>
      </w:r>
    </w:p>
    <w:p w:rsidR="008E04B1" w:rsidRPr="00070CB6" w:rsidRDefault="008E04B1" w:rsidP="00CE2DD4">
      <w:pPr>
        <w:numPr>
          <w:ilvl w:val="0"/>
          <w:numId w:val="38"/>
        </w:numPr>
        <w:rPr>
          <w:lang w:eastAsia="cs-CZ"/>
        </w:rPr>
      </w:pPr>
      <w:r>
        <w:rPr>
          <w:lang w:eastAsia="cs-CZ"/>
        </w:rPr>
        <w:t>článek 10: Pravidla pro h</w:t>
      </w:r>
      <w:r w:rsidRPr="000E03FC">
        <w:rPr>
          <w:lang w:eastAsia="cs-CZ"/>
        </w:rPr>
        <w:t xml:space="preserve">ybridní </w:t>
      </w:r>
      <w:r>
        <w:rPr>
          <w:lang w:eastAsia="cs-CZ"/>
        </w:rPr>
        <w:t xml:space="preserve">schémata </w:t>
      </w:r>
      <w:r w:rsidRPr="000E03FC">
        <w:rPr>
          <w:lang w:eastAsia="cs-CZ"/>
        </w:rPr>
        <w:t>využívající nesouladu mezi daňovými systémy</w:t>
      </w:r>
      <w:r>
        <w:rPr>
          <w:lang w:eastAsia="cs-CZ"/>
        </w:rPr>
        <w:t>.</w:t>
      </w:r>
    </w:p>
    <w:p w:rsidR="008E04B1" w:rsidRDefault="008E04B1" w:rsidP="00285D9C">
      <w:pPr>
        <w:rPr>
          <w:lang w:eastAsia="cs-CZ"/>
        </w:rPr>
      </w:pPr>
      <w:r>
        <w:rPr>
          <w:lang w:eastAsia="cs-CZ"/>
        </w:rPr>
        <w:t>Články 4, 8 a 10 jsou implementacemi Akcí 4, 3 a 2 projektu BEPS. Články 5, 6 a 7 ATAD reagují na daňovou optimalizaci specifickou pro vnitřní trh EU, resp. usnadněnou ustanoveními některých směrnic EU jako je např. směrnice o</w:t>
      </w:r>
      <w:r w:rsidRPr="00E12917">
        <w:rPr>
          <w:lang w:eastAsia="cs-CZ"/>
        </w:rPr>
        <w:t xml:space="preserve"> společném systému zdanění mateřských a dceřiných společností z různých členských států</w:t>
      </w:r>
      <w:r>
        <w:rPr>
          <w:lang w:eastAsia="cs-CZ"/>
        </w:rPr>
        <w:t>.</w:t>
      </w:r>
    </w:p>
    <w:p w:rsidR="008E04B1" w:rsidRDefault="008E04B1" w:rsidP="00285D9C">
      <w:pPr>
        <w:rPr>
          <w:lang w:eastAsia="cs-CZ"/>
        </w:rPr>
      </w:pPr>
      <w:r>
        <w:rPr>
          <w:lang w:eastAsia="cs-CZ"/>
        </w:rPr>
        <w:t>Rovněž je třeba upozornit na článek 3 návrhu ATAD, který říká, že členské státy si mohou ponechat či použít předpisy odlišné od pravidel obsažených v návrhu ATAD, pokud tato pravidla zajistí vyšší úroveň ochrany proti vyhýbání se daňovým povinnostem.</w:t>
      </w:r>
    </w:p>
    <w:p w:rsidR="008E04B1" w:rsidRPr="007F0A4A" w:rsidRDefault="008E04B1" w:rsidP="005A37BD">
      <w:pPr>
        <w:pStyle w:val="Nadpis2"/>
        <w:spacing w:before="120"/>
      </w:pPr>
      <w:bookmarkStart w:id="21" w:name="_Toc448736170"/>
      <w:r w:rsidRPr="007F0A4A">
        <w:lastRenderedPageBreak/>
        <w:t>ATAD, článek 4: Omezení odečitatelnosti úroků</w:t>
      </w:r>
      <w:bookmarkEnd w:id="21"/>
    </w:p>
    <w:p w:rsidR="008E04B1" w:rsidRPr="007F0A4A" w:rsidRDefault="008E04B1" w:rsidP="007E2AA7">
      <w:pPr>
        <w:pStyle w:val="Nadpis3"/>
      </w:pPr>
      <w:r>
        <w:t>Popis problému</w:t>
      </w:r>
    </w:p>
    <w:p w:rsidR="008E04B1" w:rsidRPr="007F0A4A" w:rsidRDefault="008E04B1" w:rsidP="005A37BD">
      <w:pPr>
        <w:rPr>
          <w:lang w:eastAsia="cs-CZ"/>
        </w:rPr>
      </w:pPr>
      <w:r>
        <w:rPr>
          <w:lang w:eastAsia="cs-CZ"/>
        </w:rPr>
        <w:t>Viz BEPS, Akce 4.</w:t>
      </w:r>
    </w:p>
    <w:p w:rsidR="008E04B1" w:rsidRPr="007F0A4A" w:rsidRDefault="008E04B1" w:rsidP="007E2AA7">
      <w:pPr>
        <w:pStyle w:val="Nadpis3"/>
      </w:pPr>
      <w:r>
        <w:t>Návrh řešení EU</w:t>
      </w:r>
    </w:p>
    <w:p w:rsidR="008E04B1" w:rsidRPr="00E93C5A" w:rsidRDefault="008E04B1" w:rsidP="005A37BD">
      <w:pPr>
        <w:rPr>
          <w:szCs w:val="24"/>
          <w:lang w:eastAsia="cs-CZ"/>
        </w:rPr>
      </w:pPr>
      <w:r>
        <w:t xml:space="preserve">Návrhy EU vychází z návrhů Akce 4 projektu BEPS. Oproti doporučením projektu BEPS však ATAD navrhuje pevný limit pro uznatelnost úroků ve výši </w:t>
      </w:r>
      <w:r w:rsidRPr="00410BA8">
        <w:rPr>
          <w:szCs w:val="24"/>
        </w:rPr>
        <w:t xml:space="preserve">30 % EBITDA </w:t>
      </w:r>
      <w:r w:rsidR="001728B0" w:rsidRPr="00410BA8">
        <w:rPr>
          <w:szCs w:val="24"/>
        </w:rPr>
        <w:t xml:space="preserve">u všech společností, ale o konečné podobě pravidla se ještě </w:t>
      </w:r>
      <w:proofErr w:type="gramStart"/>
      <w:r w:rsidR="001728B0" w:rsidRPr="00410BA8">
        <w:rPr>
          <w:szCs w:val="24"/>
        </w:rPr>
        <w:t>diskutuje.</w:t>
      </w:r>
      <w:r w:rsidRPr="004144CE">
        <w:rPr>
          <w:szCs w:val="24"/>
        </w:rPr>
        <w:t>.</w:t>
      </w:r>
      <w:proofErr w:type="gramEnd"/>
    </w:p>
    <w:p w:rsidR="008E04B1" w:rsidRPr="007F0A4A" w:rsidRDefault="008E04B1" w:rsidP="007E2AA7">
      <w:pPr>
        <w:pStyle w:val="Nadpis3"/>
      </w:pPr>
      <w:r>
        <w:t>Aplikace v ČR</w:t>
      </w:r>
    </w:p>
    <w:p w:rsidR="008E04B1" w:rsidRPr="007F0A4A" w:rsidRDefault="008E04B1" w:rsidP="005A37BD">
      <w:pPr>
        <w:rPr>
          <w:lang w:eastAsia="cs-CZ"/>
        </w:rPr>
      </w:pPr>
      <w:r>
        <w:rPr>
          <w:lang w:eastAsia="cs-CZ"/>
        </w:rPr>
        <w:t>Viz BEPS, Akce 4.</w:t>
      </w:r>
    </w:p>
    <w:p w:rsidR="008E04B1" w:rsidRPr="007F0A4A" w:rsidRDefault="008E04B1" w:rsidP="007E2AA7">
      <w:pPr>
        <w:pStyle w:val="Nadpis3"/>
      </w:pPr>
      <w:r>
        <w:t>Předpoklad realizace</w:t>
      </w:r>
    </w:p>
    <w:p w:rsidR="008E04B1" w:rsidRPr="007F0A4A" w:rsidRDefault="008E04B1" w:rsidP="005A37BD">
      <w:pPr>
        <w:rPr>
          <w:lang w:eastAsia="cs-CZ"/>
        </w:rPr>
      </w:pPr>
      <w:r>
        <w:rPr>
          <w:lang w:eastAsia="cs-CZ"/>
        </w:rPr>
        <w:t>Dle termínů schválených ve směrnici, zatím nenavrženo.</w:t>
      </w:r>
    </w:p>
    <w:p w:rsidR="008E04B1" w:rsidRPr="007F0A4A" w:rsidRDefault="008E04B1" w:rsidP="005A37BD">
      <w:pPr>
        <w:rPr>
          <w:lang w:eastAsia="cs-CZ"/>
        </w:rPr>
      </w:pPr>
    </w:p>
    <w:p w:rsidR="008E04B1" w:rsidRPr="007F0A4A" w:rsidRDefault="008E04B1" w:rsidP="005A37BD">
      <w:pPr>
        <w:pStyle w:val="Nadpis2"/>
        <w:spacing w:before="120"/>
      </w:pPr>
      <w:bookmarkStart w:id="22" w:name="_Toc448736171"/>
      <w:r w:rsidRPr="007F0A4A">
        <w:lastRenderedPageBreak/>
        <w:t>ATAD, článek 5: Zdanění při odchodu</w:t>
      </w:r>
      <w:bookmarkEnd w:id="22"/>
    </w:p>
    <w:p w:rsidR="008E04B1" w:rsidRPr="007F0A4A" w:rsidRDefault="008E04B1" w:rsidP="007E2AA7">
      <w:pPr>
        <w:pStyle w:val="Nadpis3"/>
      </w:pPr>
      <w:r>
        <w:t>Popis problému</w:t>
      </w:r>
    </w:p>
    <w:p w:rsidR="008E04B1" w:rsidRDefault="008E04B1" w:rsidP="005A37BD">
      <w:pPr>
        <w:rPr>
          <w:lang w:eastAsia="cs-CZ"/>
        </w:rPr>
      </w:pPr>
      <w:r>
        <w:rPr>
          <w:lang w:eastAsia="cs-CZ"/>
        </w:rPr>
        <w:t xml:space="preserve">Společnosti dosahují </w:t>
      </w:r>
      <w:r w:rsidRPr="00223563">
        <w:rPr>
          <w:lang w:eastAsia="cs-CZ"/>
        </w:rPr>
        <w:t xml:space="preserve">snížení </w:t>
      </w:r>
      <w:r>
        <w:rPr>
          <w:lang w:eastAsia="cs-CZ"/>
        </w:rPr>
        <w:t xml:space="preserve">daňové povinnosti </w:t>
      </w:r>
      <w:r w:rsidRPr="00223563">
        <w:rPr>
          <w:lang w:eastAsia="cs-CZ"/>
        </w:rPr>
        <w:t xml:space="preserve">přesunutím svého daňového domicilu nebo </w:t>
      </w:r>
      <w:r>
        <w:rPr>
          <w:lang w:eastAsia="cs-CZ"/>
        </w:rPr>
        <w:t xml:space="preserve">části svých </w:t>
      </w:r>
      <w:r w:rsidRPr="00223563">
        <w:rPr>
          <w:lang w:eastAsia="cs-CZ"/>
        </w:rPr>
        <w:t xml:space="preserve">aktiv </w:t>
      </w:r>
      <w:r>
        <w:rPr>
          <w:lang w:eastAsia="cs-CZ"/>
        </w:rPr>
        <w:t xml:space="preserve">bez změny jejich právního vlastníka </w:t>
      </w:r>
      <w:r w:rsidRPr="00223563">
        <w:rPr>
          <w:lang w:eastAsia="cs-CZ"/>
        </w:rPr>
        <w:t xml:space="preserve">do jurisdikce s nízkým </w:t>
      </w:r>
      <w:r>
        <w:rPr>
          <w:lang w:eastAsia="cs-CZ"/>
        </w:rPr>
        <w:t>daňovým zatížením. Pokud byla aktiva převedena včetně akumulovaného zisku, ztratí původní stát umístění aktiv právo tento zisk zdanit.</w:t>
      </w:r>
    </w:p>
    <w:p w:rsidR="008E04B1" w:rsidRPr="007F0A4A" w:rsidRDefault="008E04B1" w:rsidP="007E2AA7">
      <w:pPr>
        <w:pStyle w:val="Nadpis3"/>
      </w:pPr>
      <w:r>
        <w:t>Návrh řešení EU</w:t>
      </w:r>
    </w:p>
    <w:p w:rsidR="008E04B1" w:rsidRPr="007F0A4A" w:rsidRDefault="008E04B1" w:rsidP="005A37BD">
      <w:pPr>
        <w:rPr>
          <w:lang w:eastAsia="cs-CZ"/>
        </w:rPr>
      </w:pPr>
      <w:r>
        <w:rPr>
          <w:lang w:eastAsia="cs-CZ"/>
        </w:rPr>
        <w:t>ATAD v článku 5 navrhuje, aby se přesun aktiv do jiného státu, ať už se jedná o jiný členský stát EU nebo stát mimo EU, považoval z daňového hlediska za prodej. Cena bude stanovena ve výši tržního ocenění takových aktiv. Poplatník si bude moci uplatnit daňovou zůstatkovou cenu jako náklad.</w:t>
      </w:r>
    </w:p>
    <w:p w:rsidR="008E04B1" w:rsidRPr="007F0A4A" w:rsidRDefault="008E04B1" w:rsidP="007E2AA7">
      <w:pPr>
        <w:pStyle w:val="Nadpis3"/>
      </w:pPr>
      <w:r>
        <w:t>Aplikace v ČR</w:t>
      </w:r>
    </w:p>
    <w:p w:rsidR="008E04B1" w:rsidRDefault="008E04B1" w:rsidP="005A37BD">
      <w:pPr>
        <w:rPr>
          <w:lang w:eastAsia="cs-CZ"/>
        </w:rPr>
      </w:pPr>
      <w:r>
        <w:rPr>
          <w:lang w:eastAsia="cs-CZ"/>
        </w:rPr>
        <w:t xml:space="preserve">Pozitivním aspektem navrženého opatření je zvýšení daňového výnosu v případě přesunů aktiv do jiných států. </w:t>
      </w:r>
    </w:p>
    <w:p w:rsidR="008E04B1" w:rsidRDefault="008E04B1" w:rsidP="005A37BD">
      <w:pPr>
        <w:rPr>
          <w:lang w:eastAsia="cs-CZ"/>
        </w:rPr>
      </w:pPr>
      <w:r>
        <w:rPr>
          <w:lang w:eastAsia="cs-CZ"/>
        </w:rPr>
        <w:t>Dalším pozitivním aspektem je to, že opatření může některé poplatníky odradit od takového přesunu, pokud by byl spojen s příliš velkou platbou daně.</w:t>
      </w:r>
    </w:p>
    <w:p w:rsidR="008E04B1" w:rsidRDefault="008E04B1" w:rsidP="005A37BD">
      <w:pPr>
        <w:rPr>
          <w:lang w:eastAsia="cs-CZ"/>
        </w:rPr>
      </w:pPr>
      <w:r>
        <w:rPr>
          <w:lang w:eastAsia="cs-CZ"/>
        </w:rPr>
        <w:t>Negativním aspektem je, že může omezit zahraniční investice. Pokud bude potenciální investor vědět, že při přesunu investice z ČR do jiného státu bez změny právního vlastnictví bude muset platit daň z rozdílu mezi daňovou a tržní hodnotou, může ho to motivovat k umístění investice do jiného státu, který zdanění při odchodu neuplatňuje.</w:t>
      </w:r>
    </w:p>
    <w:p w:rsidR="008E04B1" w:rsidRPr="007F0A4A" w:rsidRDefault="008E04B1" w:rsidP="007E2AA7">
      <w:pPr>
        <w:pStyle w:val="Nadpis3"/>
      </w:pPr>
      <w:r>
        <w:t>Předpoklad realizace</w:t>
      </w:r>
    </w:p>
    <w:p w:rsidR="008E04B1" w:rsidRPr="007F0A4A" w:rsidRDefault="008E04B1" w:rsidP="005A37BD">
      <w:pPr>
        <w:rPr>
          <w:lang w:eastAsia="cs-CZ"/>
        </w:rPr>
      </w:pPr>
      <w:r>
        <w:rPr>
          <w:lang w:eastAsia="cs-CZ"/>
        </w:rPr>
        <w:t>Dle termínů schválených ve směrnici, zatím nenavrženo.</w:t>
      </w:r>
    </w:p>
    <w:p w:rsidR="008E04B1" w:rsidRPr="007F0A4A" w:rsidRDefault="008E04B1" w:rsidP="005A37BD">
      <w:pPr>
        <w:pStyle w:val="Nadpis2"/>
        <w:spacing w:before="120"/>
      </w:pPr>
      <w:bookmarkStart w:id="23" w:name="_Toc448736172"/>
      <w:r w:rsidRPr="007F0A4A">
        <w:lastRenderedPageBreak/>
        <w:t>ATAD, článek 6: Případy, kdy se osvobození neuplatní (</w:t>
      </w:r>
      <w:proofErr w:type="spellStart"/>
      <w:r w:rsidRPr="007F0A4A">
        <w:t>switch-over</w:t>
      </w:r>
      <w:proofErr w:type="spellEnd"/>
      <w:r w:rsidRPr="007F0A4A">
        <w:t xml:space="preserve"> </w:t>
      </w:r>
      <w:proofErr w:type="spellStart"/>
      <w:r w:rsidRPr="007F0A4A">
        <w:t>clause</w:t>
      </w:r>
      <w:proofErr w:type="spellEnd"/>
      <w:r w:rsidRPr="007F0A4A">
        <w:t>)</w:t>
      </w:r>
      <w:bookmarkEnd w:id="23"/>
    </w:p>
    <w:p w:rsidR="008E04B1" w:rsidRPr="007F0A4A" w:rsidRDefault="008E04B1" w:rsidP="007E2AA7">
      <w:pPr>
        <w:pStyle w:val="Nadpis3"/>
      </w:pPr>
      <w:r>
        <w:t>Popis problému</w:t>
      </w:r>
    </w:p>
    <w:p w:rsidR="008E04B1" w:rsidRDefault="008E04B1" w:rsidP="005A37BD">
      <w:pPr>
        <w:rPr>
          <w:lang w:eastAsia="cs-CZ"/>
        </w:rPr>
      </w:pPr>
      <w:r w:rsidRPr="00612020">
        <w:rPr>
          <w:lang w:eastAsia="cs-CZ"/>
        </w:rPr>
        <w:t>Vzhledem k</w:t>
      </w:r>
      <w:r>
        <w:rPr>
          <w:lang w:eastAsia="cs-CZ"/>
        </w:rPr>
        <w:t xml:space="preserve"> vysokým administrativním nákladům vyvolaným </w:t>
      </w:r>
      <w:r w:rsidRPr="00612020">
        <w:rPr>
          <w:lang w:eastAsia="cs-CZ"/>
        </w:rPr>
        <w:t>započ</w:t>
      </w:r>
      <w:r>
        <w:rPr>
          <w:lang w:eastAsia="cs-CZ"/>
        </w:rPr>
        <w:t xml:space="preserve">ítáváním </w:t>
      </w:r>
      <w:r w:rsidRPr="00612020">
        <w:rPr>
          <w:lang w:eastAsia="cs-CZ"/>
        </w:rPr>
        <w:t>daní zaplacených v</w:t>
      </w:r>
      <w:r>
        <w:rPr>
          <w:lang w:eastAsia="cs-CZ"/>
        </w:rPr>
        <w:t> </w:t>
      </w:r>
      <w:r w:rsidRPr="00612020">
        <w:rPr>
          <w:lang w:eastAsia="cs-CZ"/>
        </w:rPr>
        <w:t xml:space="preserve">zahraničí mají státy tendenci stále více zahraniční příjmy </w:t>
      </w:r>
      <w:r>
        <w:rPr>
          <w:lang w:eastAsia="cs-CZ"/>
        </w:rPr>
        <w:t xml:space="preserve">ve formě dividend či kapitálových zisků </w:t>
      </w:r>
      <w:r w:rsidRPr="00612020">
        <w:rPr>
          <w:lang w:eastAsia="cs-CZ"/>
        </w:rPr>
        <w:t xml:space="preserve">osvobozovat od zdanění. </w:t>
      </w:r>
    </w:p>
    <w:p w:rsidR="008E04B1" w:rsidRDefault="008E04B1" w:rsidP="00612020">
      <w:pPr>
        <w:rPr>
          <w:lang w:eastAsia="cs-CZ"/>
        </w:rPr>
      </w:pPr>
      <w:r>
        <w:rPr>
          <w:lang w:eastAsia="cs-CZ"/>
        </w:rPr>
        <w:t>Pokud jsou zisky přesunuty do státu</w:t>
      </w:r>
      <w:r w:rsidRPr="00612020">
        <w:rPr>
          <w:lang w:eastAsia="cs-CZ"/>
        </w:rPr>
        <w:t xml:space="preserve"> </w:t>
      </w:r>
      <w:r>
        <w:rPr>
          <w:lang w:eastAsia="cs-CZ"/>
        </w:rPr>
        <w:t>s nízkým daňovým zatížením mimo EU a poté vyplaceny do libovolného členského státu, který uplatňuje osvobození, je možno je díky volnému pohybu dividend mezi mateřskými a dceřinými společnostmi v EU vyplatit do jakéhokoliv dalšího státu a vyhnout se tak zdanění, ke kterému by mohlo dojít, kdyby byly vyplaceny ze státu mimo EU do jiného členského státu EU.</w:t>
      </w:r>
    </w:p>
    <w:p w:rsidR="008E04B1" w:rsidRPr="007F0A4A" w:rsidRDefault="008E04B1" w:rsidP="007E2AA7">
      <w:pPr>
        <w:pStyle w:val="Nadpis3"/>
      </w:pPr>
      <w:r>
        <w:t>Návrh řešení EU</w:t>
      </w:r>
    </w:p>
    <w:p w:rsidR="008E04B1" w:rsidRDefault="008E04B1" w:rsidP="005A37BD">
      <w:pPr>
        <w:rPr>
          <w:lang w:eastAsia="cs-CZ"/>
        </w:rPr>
      </w:pPr>
      <w:r>
        <w:rPr>
          <w:lang w:eastAsia="cs-CZ"/>
        </w:rPr>
        <w:t>Článek 6 ATAD navrhuje, aby členský stát neuplatnil osvobození dividend v případě, že byly vyplaceny ze státu mimo EU, který má daňovou sazbu daně z příjmů právnických osob nižší než 40 % sazby daně z příjmů právnických osob členského státu, kam jsou dividendy vyplaceny.</w:t>
      </w:r>
    </w:p>
    <w:p w:rsidR="008E04B1" w:rsidRDefault="008E04B1" w:rsidP="005A37BD">
      <w:pPr>
        <w:rPr>
          <w:lang w:eastAsia="cs-CZ"/>
        </w:rPr>
      </w:pPr>
      <w:r>
        <w:rPr>
          <w:lang w:eastAsia="cs-CZ"/>
        </w:rPr>
        <w:t xml:space="preserve">Rovněž tak by se osvobození nepoužilo v případě příjmů </w:t>
      </w:r>
      <w:r w:rsidRPr="0057095C">
        <w:rPr>
          <w:lang w:eastAsia="cs-CZ"/>
        </w:rPr>
        <w:t>z</w:t>
      </w:r>
      <w:r>
        <w:rPr>
          <w:lang w:eastAsia="cs-CZ"/>
        </w:rPr>
        <w:t> prodeje podílů držených v subjektu ve výše uvedeném státě mimo EU.</w:t>
      </w:r>
    </w:p>
    <w:p w:rsidR="008E04B1" w:rsidRPr="007F0A4A" w:rsidRDefault="008E04B1" w:rsidP="005A37BD">
      <w:pPr>
        <w:rPr>
          <w:lang w:eastAsia="cs-CZ"/>
        </w:rPr>
      </w:pPr>
      <w:r>
        <w:rPr>
          <w:lang w:eastAsia="cs-CZ"/>
        </w:rPr>
        <w:t>Výše uvedené příjmy by podléhaly zdanění v příslušném členském státě EU s tím, že daň zaplacená v zemi, kde mají příjmy svůj zdroj, by byla započtena na daň členského státu EU.</w:t>
      </w:r>
    </w:p>
    <w:p w:rsidR="008E04B1" w:rsidRPr="007F0A4A" w:rsidRDefault="008E04B1" w:rsidP="007E2AA7">
      <w:pPr>
        <w:pStyle w:val="Nadpis3"/>
      </w:pPr>
      <w:r>
        <w:t>Aplikace v ČR</w:t>
      </w:r>
    </w:p>
    <w:p w:rsidR="008E04B1" w:rsidRPr="007F0A4A" w:rsidRDefault="008E04B1" w:rsidP="005A37BD">
      <w:pPr>
        <w:rPr>
          <w:lang w:eastAsia="cs-CZ"/>
        </w:rPr>
      </w:pPr>
      <w:r w:rsidRPr="00CD6038">
        <w:rPr>
          <w:lang w:eastAsia="cs-CZ"/>
        </w:rPr>
        <w:t xml:space="preserve">V ČR v zásadě problém </w:t>
      </w:r>
      <w:r>
        <w:rPr>
          <w:lang w:eastAsia="cs-CZ"/>
        </w:rPr>
        <w:t xml:space="preserve">se zneužitím osvobození zahraničních příjmů </w:t>
      </w:r>
      <w:r w:rsidRPr="00CD6038">
        <w:rPr>
          <w:lang w:eastAsia="cs-CZ"/>
        </w:rPr>
        <w:t xml:space="preserve">nevzniká, neboť v domácí legislativě </w:t>
      </w:r>
      <w:r>
        <w:rPr>
          <w:lang w:eastAsia="cs-CZ"/>
        </w:rPr>
        <w:t xml:space="preserve">není </w:t>
      </w:r>
      <w:r w:rsidR="00314237">
        <w:rPr>
          <w:lang w:eastAsia="cs-CZ"/>
        </w:rPr>
        <w:t xml:space="preserve">takové </w:t>
      </w:r>
      <w:r>
        <w:rPr>
          <w:lang w:eastAsia="cs-CZ"/>
        </w:rPr>
        <w:t>osvobození zakotveno.</w:t>
      </w:r>
    </w:p>
    <w:p w:rsidR="008E04B1" w:rsidRPr="007F0A4A" w:rsidRDefault="008E04B1" w:rsidP="007E2AA7">
      <w:pPr>
        <w:pStyle w:val="Nadpis3"/>
      </w:pPr>
      <w:r>
        <w:t>Předpoklad realizace</w:t>
      </w:r>
    </w:p>
    <w:p w:rsidR="008E04B1" w:rsidRPr="007F0A4A" w:rsidRDefault="008E04B1" w:rsidP="00F5146F">
      <w:pPr>
        <w:rPr>
          <w:lang w:eastAsia="cs-CZ"/>
        </w:rPr>
      </w:pPr>
      <w:r>
        <w:rPr>
          <w:lang w:eastAsia="cs-CZ"/>
        </w:rPr>
        <w:t>Dle termínů schválených ve směrnici, zatím nenavrženo.</w:t>
      </w:r>
    </w:p>
    <w:p w:rsidR="008E04B1" w:rsidRPr="007F0A4A" w:rsidRDefault="008E04B1" w:rsidP="005A37BD">
      <w:pPr>
        <w:rPr>
          <w:lang w:eastAsia="cs-CZ"/>
        </w:rPr>
      </w:pPr>
    </w:p>
    <w:p w:rsidR="008E04B1" w:rsidRPr="007F0A4A" w:rsidRDefault="008E04B1" w:rsidP="005A37BD">
      <w:pPr>
        <w:pStyle w:val="Nadpis2"/>
        <w:spacing w:before="120"/>
      </w:pPr>
      <w:bookmarkStart w:id="24" w:name="_Toc448736173"/>
      <w:r w:rsidRPr="007F0A4A">
        <w:lastRenderedPageBreak/>
        <w:t>ATAD, článek 7: Obecné pravidlo proti zneužívání (GAAR)</w:t>
      </w:r>
      <w:bookmarkEnd w:id="24"/>
    </w:p>
    <w:p w:rsidR="008E04B1" w:rsidRPr="007F0A4A" w:rsidRDefault="008E04B1" w:rsidP="007E2AA7">
      <w:pPr>
        <w:pStyle w:val="Nadpis3"/>
      </w:pPr>
      <w:r>
        <w:t>Popis problému</w:t>
      </w:r>
    </w:p>
    <w:p w:rsidR="008E04B1" w:rsidRDefault="008E04B1" w:rsidP="005A37BD">
      <w:pPr>
        <w:rPr>
          <w:lang w:eastAsia="cs-CZ"/>
        </w:rPr>
      </w:pPr>
      <w:r>
        <w:rPr>
          <w:lang w:eastAsia="cs-CZ"/>
        </w:rPr>
        <w:t>I přes veškerou snahu omezit možnosti agresivního daňového plánování lze očekávat, že společnosti budou i nadále nacházet cesty, jak přesouvat umělými transakcemi bez ekonomické podstaty zisky do jurisdikcí s nízkým daňovým zatížením.</w:t>
      </w:r>
    </w:p>
    <w:p w:rsidR="008E04B1" w:rsidRPr="007F0A4A" w:rsidRDefault="008E04B1" w:rsidP="007E2AA7">
      <w:pPr>
        <w:pStyle w:val="Nadpis3"/>
      </w:pPr>
      <w:r>
        <w:t>Návrh řešení EU</w:t>
      </w:r>
    </w:p>
    <w:p w:rsidR="008E04B1" w:rsidRDefault="008E04B1" w:rsidP="005A37BD">
      <w:pPr>
        <w:rPr>
          <w:lang w:eastAsia="cs-CZ"/>
        </w:rPr>
      </w:pPr>
      <w:r>
        <w:rPr>
          <w:lang w:eastAsia="cs-CZ"/>
        </w:rPr>
        <w:t>Článek 7 ATAD navrhuje zavést obecné pravidlo proti zneužívání práva. Toto pravidlo d</w:t>
      </w:r>
      <w:r w:rsidRPr="0079049A">
        <w:rPr>
          <w:lang w:eastAsia="cs-CZ"/>
        </w:rPr>
        <w:t xml:space="preserve">ává </w:t>
      </w:r>
      <w:r>
        <w:rPr>
          <w:lang w:eastAsia="cs-CZ"/>
        </w:rPr>
        <w:t xml:space="preserve">správci daně možnost </w:t>
      </w:r>
      <w:r w:rsidRPr="0079049A">
        <w:rPr>
          <w:lang w:eastAsia="cs-CZ"/>
        </w:rPr>
        <w:t>odepřít daňovým poplatníkům výhody plynoucí z</w:t>
      </w:r>
      <w:r>
        <w:rPr>
          <w:lang w:eastAsia="cs-CZ"/>
        </w:rPr>
        <w:t xml:space="preserve"> umělých transakcí, jejichž cílem bylo snížit daňovou povinnost a které postrádají jiné ekonomické zdůvodnění. </w:t>
      </w:r>
    </w:p>
    <w:p w:rsidR="008E04B1" w:rsidRDefault="008E04B1" w:rsidP="005A37BD">
      <w:pPr>
        <w:rPr>
          <w:lang w:eastAsia="cs-CZ"/>
        </w:rPr>
      </w:pPr>
      <w:r>
        <w:rPr>
          <w:lang w:eastAsia="cs-CZ"/>
        </w:rPr>
        <w:t>Takové pravidlo umožní postihnout případy, které nepostihují ostatní, specifická pravidla.</w:t>
      </w:r>
    </w:p>
    <w:p w:rsidR="008E04B1" w:rsidRPr="007F0A4A" w:rsidRDefault="008E04B1" w:rsidP="007E2AA7">
      <w:pPr>
        <w:pStyle w:val="Nadpis3"/>
      </w:pPr>
      <w:r>
        <w:t>Aplikace v ČR</w:t>
      </w:r>
    </w:p>
    <w:p w:rsidR="008E04B1" w:rsidRPr="007F0A4A" w:rsidRDefault="008E04B1" w:rsidP="005A37BD">
      <w:pPr>
        <w:rPr>
          <w:lang w:eastAsia="cs-CZ"/>
        </w:rPr>
      </w:pPr>
      <w:r>
        <w:t>V ČR je tato problematika pokryta ustanoveními daňového řádu, a rozhodováním soudů, které uplatňují zásadu upřednostnění podstaty nad formou a není ji proto třeba implementovat konkrétním ustanovením.</w:t>
      </w:r>
    </w:p>
    <w:p w:rsidR="008E04B1" w:rsidRPr="007F0A4A" w:rsidRDefault="008E04B1" w:rsidP="007E2AA7">
      <w:pPr>
        <w:pStyle w:val="Nadpis3"/>
      </w:pPr>
      <w:r>
        <w:t>Předpoklad realizace</w:t>
      </w:r>
    </w:p>
    <w:p w:rsidR="008E04B1" w:rsidRPr="007F0A4A" w:rsidRDefault="008E04B1" w:rsidP="00F5146F">
      <w:pPr>
        <w:rPr>
          <w:lang w:eastAsia="cs-CZ"/>
        </w:rPr>
      </w:pPr>
      <w:r>
        <w:rPr>
          <w:lang w:eastAsia="cs-CZ"/>
        </w:rPr>
        <w:t>Dle termínů schválených ve směrnici, zatím nenavrženo.</w:t>
      </w:r>
    </w:p>
    <w:p w:rsidR="008E04B1" w:rsidRPr="007F0A4A" w:rsidRDefault="008E04B1" w:rsidP="005A37BD">
      <w:pPr>
        <w:tabs>
          <w:tab w:val="left" w:pos="3840"/>
        </w:tabs>
        <w:rPr>
          <w:lang w:eastAsia="cs-CZ"/>
        </w:rPr>
      </w:pPr>
    </w:p>
    <w:p w:rsidR="008E04B1" w:rsidRPr="007F0A4A" w:rsidRDefault="008E04B1" w:rsidP="000E03FC">
      <w:pPr>
        <w:pStyle w:val="Nadpis2"/>
      </w:pPr>
      <w:bookmarkStart w:id="25" w:name="_Toc448736174"/>
      <w:r w:rsidRPr="007F0A4A">
        <w:lastRenderedPageBreak/>
        <w:t xml:space="preserve">ATAD, článek 8: </w:t>
      </w:r>
      <w:r>
        <w:t>P</w:t>
      </w:r>
      <w:r w:rsidRPr="000E03FC">
        <w:t>ravidla pro zdaňování ovládaných zahraničních společností (CFC pravidla)</w:t>
      </w:r>
      <w:bookmarkEnd w:id="25"/>
    </w:p>
    <w:p w:rsidR="008E04B1" w:rsidRPr="007F0A4A" w:rsidRDefault="008E04B1" w:rsidP="007E2AA7">
      <w:pPr>
        <w:pStyle w:val="Nadpis3"/>
      </w:pPr>
      <w:r>
        <w:t>Popis problému</w:t>
      </w:r>
    </w:p>
    <w:p w:rsidR="008E04B1" w:rsidRPr="007F0A4A" w:rsidRDefault="008E04B1" w:rsidP="005A37BD">
      <w:pPr>
        <w:rPr>
          <w:lang w:eastAsia="cs-CZ"/>
        </w:rPr>
      </w:pPr>
      <w:r>
        <w:rPr>
          <w:lang w:eastAsia="cs-CZ"/>
        </w:rPr>
        <w:t>Viz BEPS, Akce 3.</w:t>
      </w:r>
    </w:p>
    <w:p w:rsidR="008E04B1" w:rsidRPr="007F0A4A" w:rsidRDefault="008E04B1" w:rsidP="007E2AA7">
      <w:pPr>
        <w:pStyle w:val="Nadpis3"/>
      </w:pPr>
      <w:r w:rsidRPr="007F0A4A">
        <w:t>Návrh řešení EU:</w:t>
      </w:r>
    </w:p>
    <w:p w:rsidR="008E04B1" w:rsidRPr="007F0A4A" w:rsidRDefault="008E04B1" w:rsidP="005A37BD">
      <w:pPr>
        <w:rPr>
          <w:lang w:eastAsia="cs-CZ"/>
        </w:rPr>
      </w:pPr>
      <w:r>
        <w:t>Návrhy EU vychází z návrhů Akce 3 projektu BEPS.</w:t>
      </w:r>
    </w:p>
    <w:p w:rsidR="008E04B1" w:rsidRPr="007F0A4A" w:rsidRDefault="008E04B1" w:rsidP="007E2AA7">
      <w:pPr>
        <w:pStyle w:val="Nadpis3"/>
      </w:pPr>
      <w:r>
        <w:t>Aplikace v ČR</w:t>
      </w:r>
    </w:p>
    <w:p w:rsidR="008E04B1" w:rsidRPr="007F0A4A" w:rsidRDefault="008E04B1" w:rsidP="00A848E6">
      <w:pPr>
        <w:rPr>
          <w:lang w:eastAsia="cs-CZ"/>
        </w:rPr>
      </w:pPr>
      <w:r>
        <w:rPr>
          <w:lang w:eastAsia="cs-CZ"/>
        </w:rPr>
        <w:t>Viz BEPS, Akce 3.</w:t>
      </w:r>
    </w:p>
    <w:p w:rsidR="008E04B1" w:rsidRDefault="008E04B1" w:rsidP="007E2AA7">
      <w:pPr>
        <w:pStyle w:val="Nadpis3"/>
      </w:pPr>
      <w:r>
        <w:t>Předpoklad realizace</w:t>
      </w:r>
    </w:p>
    <w:p w:rsidR="008E04B1" w:rsidRPr="00F5146F" w:rsidRDefault="008E04B1" w:rsidP="00F5146F">
      <w:pPr>
        <w:rPr>
          <w:lang w:eastAsia="cs-CZ"/>
        </w:rPr>
      </w:pPr>
      <w:r>
        <w:rPr>
          <w:lang w:eastAsia="cs-CZ"/>
        </w:rPr>
        <w:t>Dle termínů schválených ve směrnici, zatím nenavrženo.</w:t>
      </w:r>
    </w:p>
    <w:p w:rsidR="008E04B1" w:rsidRPr="007F0A4A" w:rsidRDefault="008E04B1" w:rsidP="000E03FC">
      <w:pPr>
        <w:pStyle w:val="Nadpis2"/>
      </w:pPr>
      <w:bookmarkStart w:id="26" w:name="_Toc448736175"/>
      <w:r w:rsidRPr="007F0A4A">
        <w:lastRenderedPageBreak/>
        <w:t xml:space="preserve">ATAD, článek 10: </w:t>
      </w:r>
      <w:r w:rsidRPr="000E03FC">
        <w:t>Pravidla pro hybridní schémata využívající nesouladu mezi daňovými systémy</w:t>
      </w:r>
      <w:bookmarkEnd w:id="26"/>
    </w:p>
    <w:p w:rsidR="008E04B1" w:rsidRPr="007F0A4A" w:rsidRDefault="008E04B1" w:rsidP="00A37E6F">
      <w:pPr>
        <w:pStyle w:val="Nadpis3"/>
      </w:pPr>
      <w:r>
        <w:t>Popis problému</w:t>
      </w:r>
    </w:p>
    <w:p w:rsidR="008E04B1" w:rsidRPr="007F0A4A" w:rsidRDefault="008E04B1" w:rsidP="00A37E6F">
      <w:pPr>
        <w:rPr>
          <w:lang w:eastAsia="cs-CZ"/>
        </w:rPr>
      </w:pPr>
      <w:r>
        <w:rPr>
          <w:lang w:eastAsia="cs-CZ"/>
        </w:rPr>
        <w:t>Viz BEPS, Akce 2.</w:t>
      </w:r>
    </w:p>
    <w:p w:rsidR="008E04B1" w:rsidRPr="007F0A4A" w:rsidRDefault="008E04B1" w:rsidP="00A37E6F">
      <w:pPr>
        <w:pStyle w:val="Nadpis3"/>
      </w:pPr>
      <w:r>
        <w:t>Návrh řešení EU</w:t>
      </w:r>
    </w:p>
    <w:p w:rsidR="008E04B1" w:rsidRPr="00715769" w:rsidRDefault="008E04B1" w:rsidP="00A37E6F">
      <w:pPr>
        <w:rPr>
          <w:lang w:eastAsia="cs-CZ"/>
        </w:rPr>
      </w:pPr>
      <w:r>
        <w:rPr>
          <w:lang w:eastAsia="cs-CZ"/>
        </w:rPr>
        <w:t>Návrh EU vychází z </w:t>
      </w:r>
      <w:r w:rsidRPr="00715769">
        <w:rPr>
          <w:lang w:eastAsia="cs-CZ"/>
        </w:rPr>
        <w:t>návrhů Akce 2 projektu BEPS, avšak výchozí opatření jsou formována naopak.</w:t>
      </w:r>
      <w:r>
        <w:rPr>
          <w:lang w:eastAsia="cs-CZ"/>
        </w:rPr>
        <w:t xml:space="preserve"> </w:t>
      </w:r>
      <w:r w:rsidRPr="00715769">
        <w:rPr>
          <w:lang w:eastAsia="cs-CZ"/>
        </w:rPr>
        <w:t xml:space="preserve">Na rozdíl od projektu BEPS, kdy je odpočet v zemi plátce odepřen, neboť nedošlo k zahrnutí platby do základu daně v zemi příjemce, v návrhu ATAD dochází k posuzování transakce na základě právní kvalifikace v zemi zdroje, kterou následně stát příjemce přejímá. Pokud tedy ve státě plátce nedojde k odpočtu platby od základu daně, pak je platba v zemi příjemce zahrnuta do základu daně a naopak. Cílem návrhu je, aby každá platba byla alespoň jednou zdaněna. </w:t>
      </w:r>
    </w:p>
    <w:p w:rsidR="008E04B1" w:rsidRPr="00715769" w:rsidRDefault="008E04B1" w:rsidP="00A37E6F">
      <w:pPr>
        <w:rPr>
          <w:lang w:eastAsia="cs-CZ"/>
        </w:rPr>
      </w:pPr>
      <w:r w:rsidRPr="00715769">
        <w:rPr>
          <w:lang w:eastAsia="cs-CZ"/>
        </w:rPr>
        <w:t>Oproti Akci 2 návrh OECD neobsahuje primární a sekundární pravidla. Návrh ATAD je konstruován přímo jako obranné pravidlo, a tudíž, pokud dojde k jeho povinné implementaci a aplikaci v celém spektru států EU, nemělo by být potřeba dalších zásad, jež jsou v Akci 2 projektu BEPS navržena pro případ, kdy stát zdroje nemá zavedena pravidla primární.</w:t>
      </w:r>
    </w:p>
    <w:p w:rsidR="008E04B1" w:rsidRPr="00715769" w:rsidRDefault="008E04B1" w:rsidP="00A37E6F">
      <w:r w:rsidRPr="00715769">
        <w:t xml:space="preserve">Návrh směrnice je velice obecný, neboť dle vyjádření Komise není fakticky možné do směrnice zahrnout obsáhlý materiál celé Akce 2 projektu BEPS. Navrhovaná řešení se týkají pouze operací uvnitř EU, a to u spojených i nespojených osob. V otázce aplikace navrhované směrnice vůči 3. státům mohou členské státy postupovat dle doporučení OECD – projekt BEPS, nebo dle </w:t>
      </w:r>
      <w:proofErr w:type="spellStart"/>
      <w:proofErr w:type="gramStart"/>
      <w:r w:rsidRPr="00715769">
        <w:t>Code</w:t>
      </w:r>
      <w:proofErr w:type="spellEnd"/>
      <w:proofErr w:type="gramEnd"/>
      <w:r w:rsidRPr="00715769">
        <w:t xml:space="preserve"> </w:t>
      </w:r>
      <w:proofErr w:type="spellStart"/>
      <w:r w:rsidRPr="00715769">
        <w:t>of</w:t>
      </w:r>
      <w:proofErr w:type="spellEnd"/>
      <w:r w:rsidRPr="00715769">
        <w:t xml:space="preserve"> </w:t>
      </w:r>
      <w:proofErr w:type="spellStart"/>
      <w:r w:rsidRPr="00715769">
        <w:t>Conduct</w:t>
      </w:r>
      <w:proofErr w:type="spellEnd"/>
      <w:r w:rsidRPr="00715769">
        <w:t>.</w:t>
      </w:r>
    </w:p>
    <w:p w:rsidR="008E04B1" w:rsidRPr="00715769" w:rsidRDefault="008E04B1" w:rsidP="00A37E6F">
      <w:pPr>
        <w:rPr>
          <w:lang w:eastAsia="cs-CZ"/>
        </w:rPr>
      </w:pPr>
      <w:r w:rsidRPr="00715769">
        <w:rPr>
          <w:lang w:eastAsia="cs-CZ"/>
        </w:rPr>
        <w:t>V tomto kontextu se ovšem nabízejí otázky postupu finanční správy v případě, kdy</w:t>
      </w:r>
      <w:r w:rsidRPr="00715769">
        <w:t xml:space="preserve"> nebude panovat shoda na kvalifikaci subjektu či transakce u všech zúčastněných jurisdikcí. Dále není zřejmé, zda by se pravidla implementované směrnice nedostala do střetu s implementací pravidel BEPS vůči třetím zemím. Další bod, který se nabízí, obsahuje pochybnosti, zda navržená pravidla v současné době nedopadají i na legální transakce či subjekty, které však návrh směrnice taxativně neuvádí, atd. </w:t>
      </w:r>
    </w:p>
    <w:p w:rsidR="008E04B1" w:rsidRPr="007F0A4A" w:rsidRDefault="008E04B1" w:rsidP="00A37E6F">
      <w:pPr>
        <w:pStyle w:val="Nadpis3"/>
      </w:pPr>
      <w:r>
        <w:t>Aplikace v ČR</w:t>
      </w:r>
    </w:p>
    <w:p w:rsidR="008E04B1" w:rsidRPr="007F0A4A" w:rsidRDefault="008E04B1" w:rsidP="00A37E6F">
      <w:pPr>
        <w:rPr>
          <w:lang w:eastAsia="cs-CZ"/>
        </w:rPr>
      </w:pPr>
      <w:r>
        <w:rPr>
          <w:lang w:eastAsia="cs-CZ"/>
        </w:rPr>
        <w:t>Viz BEPS, Akce 2.</w:t>
      </w:r>
    </w:p>
    <w:p w:rsidR="008E04B1" w:rsidRPr="007F0A4A" w:rsidRDefault="008E04B1" w:rsidP="00A37E6F">
      <w:pPr>
        <w:pStyle w:val="Nadpis3"/>
      </w:pPr>
      <w:r>
        <w:t>Předpoklad realizace</w:t>
      </w:r>
    </w:p>
    <w:p w:rsidR="008E04B1" w:rsidRPr="007F0A4A" w:rsidRDefault="008E04B1" w:rsidP="00A37E6F">
      <w:pPr>
        <w:rPr>
          <w:lang w:eastAsia="cs-CZ"/>
        </w:rPr>
      </w:pPr>
      <w:r>
        <w:rPr>
          <w:lang w:eastAsia="cs-CZ"/>
        </w:rPr>
        <w:t>Dle termínů schválených ve směrnici, zatím nenavrženo.</w:t>
      </w:r>
    </w:p>
    <w:p w:rsidR="008E04B1" w:rsidRPr="007F0A4A" w:rsidRDefault="008E04B1" w:rsidP="00CE2DD4">
      <w:pPr>
        <w:pStyle w:val="Nadpis1"/>
      </w:pPr>
      <w:bookmarkStart w:id="27" w:name="_Toc448736176"/>
      <w:r w:rsidRPr="007F0A4A">
        <w:lastRenderedPageBreak/>
        <w:t xml:space="preserve">DAC4: </w:t>
      </w:r>
      <w:r>
        <w:t>Výměna informací z</w:t>
      </w:r>
      <w:r w:rsidRPr="000E03FC">
        <w:t>práv</w:t>
      </w:r>
      <w:r>
        <w:t xml:space="preserve"> po</w:t>
      </w:r>
      <w:r w:rsidRPr="000E03FC">
        <w:t xml:space="preserve">dle </w:t>
      </w:r>
      <w:r>
        <w:t xml:space="preserve">jednotlivých </w:t>
      </w:r>
      <w:r w:rsidRPr="000E03FC">
        <w:t>zemí (country-by-country reporting</w:t>
      </w:r>
      <w:r>
        <w:t>)</w:t>
      </w:r>
      <w:bookmarkEnd w:id="27"/>
    </w:p>
    <w:p w:rsidR="008E04B1" w:rsidRDefault="008E04B1" w:rsidP="005A1E74">
      <w:pPr>
        <w:pageBreakBefore/>
      </w:pPr>
      <w:r>
        <w:lastRenderedPageBreak/>
        <w:t xml:space="preserve">Návrh směrnice DAC4 je reakcí na závěry vzešlé z akce 13 projektu BEPS a přímo navazuje na přistoupení zástupců příslušných orgánů 31 jurisdikcí (včetně Ministerstva financí České republiky) k Mnohostranné dohodě o výměně zpráv podle zemí. Dohoda rozšiřuje automatickou výměnu informací mezi finančními správami na základě čl. 6 Úmluvy o vzájemné správní pomoci v daňových záležitostech o nově upravené zprávy podle jednotlivých zemí. K podpisu dohody za Ministerstvo došlo dne 27. 1. 2016 během zasedání Výboru pro fiskální záležitosti OECD. </w:t>
      </w:r>
    </w:p>
    <w:p w:rsidR="008E04B1" w:rsidRDefault="008E04B1" w:rsidP="00796688">
      <w:r>
        <w:t>Evropská komise uvádí, že pro dobré fungování společného trhu EU je nutné, aby členské státy při transpozici svých politických závazků vyplývajících z iniciativy BEPS do svých národních systémů postupovaly promyšleně a dostatečně koordinovaně. Cílem návrhu směrnice je mimo jiné dosažení jistého stupně uniformity v rámci EU v tomto transpozičním procesu. Právním základem je článek 115 Smlouvy o fungování EU.</w:t>
      </w:r>
    </w:p>
    <w:p w:rsidR="008E04B1" w:rsidRDefault="008E04B1" w:rsidP="00796688"/>
    <w:p w:rsidR="008E04B1" w:rsidRDefault="008E04B1" w:rsidP="00796688"/>
    <w:p w:rsidR="008E04B1" w:rsidRPr="007F0A4A" w:rsidRDefault="008E04B1" w:rsidP="00314237">
      <w:pPr>
        <w:pStyle w:val="Nadpis3"/>
      </w:pPr>
      <w:r>
        <w:t xml:space="preserve">Popis </w:t>
      </w:r>
      <w:r w:rsidRPr="00314237">
        <w:t>problému</w:t>
      </w:r>
    </w:p>
    <w:p w:rsidR="008E04B1" w:rsidRPr="007F0A4A" w:rsidRDefault="008E04B1" w:rsidP="005A37BD">
      <w:pPr>
        <w:rPr>
          <w:lang w:eastAsia="cs-CZ"/>
        </w:rPr>
      </w:pPr>
      <w:r>
        <w:rPr>
          <w:lang w:eastAsia="cs-CZ"/>
        </w:rPr>
        <w:t>Viz BEPS, Akce 13, bod 3.</w:t>
      </w:r>
    </w:p>
    <w:p w:rsidR="008E04B1" w:rsidRPr="007F0A4A" w:rsidRDefault="008E04B1" w:rsidP="00314237">
      <w:pPr>
        <w:pStyle w:val="Nadpis3"/>
      </w:pPr>
      <w:r>
        <w:t>Řešení EU</w:t>
      </w:r>
    </w:p>
    <w:p w:rsidR="008E04B1" w:rsidRDefault="008E04B1" w:rsidP="00DB6AED">
      <w:pPr>
        <w:rPr>
          <w:lang w:eastAsia="cs-CZ"/>
        </w:rPr>
      </w:pPr>
      <w:r>
        <w:rPr>
          <w:lang w:eastAsia="cs-CZ"/>
        </w:rPr>
        <w:t xml:space="preserve">Návrh směrnice DAC4 vychází plně z návrhů výměny zpráv podle zemí v akci 13 projektu. </w:t>
      </w:r>
    </w:p>
    <w:p w:rsidR="008E04B1" w:rsidRDefault="008E04B1" w:rsidP="00DB6AED">
      <w:r w:rsidRPr="001C2F6F">
        <w:rPr>
          <w:bCs/>
        </w:rPr>
        <w:t>V návrhu směrnice je oproti textu modelové legislativy OECD (předloha obsažená v doporučení vzešlé</w:t>
      </w:r>
      <w:r>
        <w:rPr>
          <w:bCs/>
        </w:rPr>
        <w:t>m</w:t>
      </w:r>
      <w:r w:rsidRPr="001C2F6F">
        <w:rPr>
          <w:bCs/>
        </w:rPr>
        <w:t xml:space="preserve"> z akce 13) detailněji upraven tzv</w:t>
      </w:r>
      <w:r w:rsidRPr="001C2F6F">
        <w:t>. sekundární</w:t>
      </w:r>
      <w:r>
        <w:t xml:space="preserve"> mechanismus. Tento mechanismus upravuje postup v případě, kdy se budou informace požadovat za celou skupinu po dceřiné společnosti se sídlem v EU, protože s  jurisdikcí sídla matky výměna zpráv podle zemí neprobíhá. Účinnost sekundárního mechanismu (na rozdíl  od povinností mateřských společností nadnárodních skupin podniků) je odložena na 1. 1. 2017.</w:t>
      </w:r>
    </w:p>
    <w:p w:rsidR="008E04B1" w:rsidRDefault="008E04B1" w:rsidP="00DB6AED">
      <w:r>
        <w:t xml:space="preserve">DAC4 upravuje obecně povinnost členského státu zavést vlastní sankce pro případ porušení povinností uložených úpravou DAC4 a zajistit jejich řádnou aplikaci. Přijaté sankce mají být účinné, přiměřené a odrazující od porušování uvedených povinností. </w:t>
      </w:r>
    </w:p>
    <w:p w:rsidR="00113F0D" w:rsidRPr="007F0A4A" w:rsidRDefault="00113F0D" w:rsidP="00113F0D">
      <w:pPr>
        <w:pStyle w:val="Nadpis3"/>
      </w:pPr>
      <w:r>
        <w:t>Aplikace v ČR</w:t>
      </w:r>
    </w:p>
    <w:p w:rsidR="00113F0D" w:rsidRDefault="00113F0D" w:rsidP="00113F0D">
      <w:pPr>
        <w:rPr>
          <w:lang w:eastAsia="cs-CZ"/>
        </w:rPr>
      </w:pPr>
      <w:r>
        <w:rPr>
          <w:lang w:eastAsia="cs-CZ"/>
        </w:rPr>
        <w:t xml:space="preserve">Na základě transpozice výše uvedené směrnice EU DAC4. Tímto dáváme možnost všem dotčeným subjektům vyjádřit se k  otázce jejich finančních a administrativních nákladů spojených s vypracováním zprávy podle jednotlivých zemí a jejím předání finanční správě. Takto získané informace povede Ministerstvo financí v patrnosti a využije je při následném vyhodnocování efektivity mezinárodní spolupráce a sdílení tohoto typu informací. </w:t>
      </w:r>
    </w:p>
    <w:p w:rsidR="00113F0D" w:rsidRPr="007F0A4A" w:rsidRDefault="00113F0D" w:rsidP="00113F0D">
      <w:pPr>
        <w:pStyle w:val="Nadpis3"/>
      </w:pPr>
      <w:r>
        <w:t>Předpoklad realizace</w:t>
      </w:r>
    </w:p>
    <w:p w:rsidR="00113F0D" w:rsidRDefault="00113F0D" w:rsidP="00113F0D">
      <w:pPr>
        <w:rPr>
          <w:lang w:eastAsia="cs-CZ"/>
        </w:rPr>
      </w:pPr>
      <w:r>
        <w:rPr>
          <w:lang w:eastAsia="cs-CZ"/>
        </w:rPr>
        <w:t>Novela zákona č. 164/2013 Sb., o mezinárodní spolupráci při správě daní a o změně dalších souvisejících zákonů, ve znění pozdějších předpisů.</w:t>
      </w:r>
    </w:p>
    <w:p w:rsidR="00113F0D" w:rsidRPr="007F0A4A" w:rsidRDefault="00113F0D" w:rsidP="00113F0D">
      <w:pPr>
        <w:rPr>
          <w:lang w:eastAsia="cs-CZ"/>
        </w:rPr>
      </w:pPr>
      <w:r>
        <w:rPr>
          <w:lang w:eastAsia="cs-CZ"/>
        </w:rPr>
        <w:t>Dle termínů navržených ve směrnici, tj. k implementaci má dojít do 12 měsíců po vstupu směrnice v platnost. Požadovaná data by měla být finanční správě předávána vždy nejpozději d</w:t>
      </w:r>
      <w:r w:rsidRPr="00925ED4">
        <w:rPr>
          <w:lang w:eastAsia="cs-CZ"/>
        </w:rPr>
        <w:t>o 12 měsíců po posledním dni účetního období</w:t>
      </w:r>
      <w:r>
        <w:rPr>
          <w:lang w:eastAsia="cs-CZ"/>
        </w:rPr>
        <w:t xml:space="preserve">, ke kterému se data vztahují </w:t>
      </w:r>
      <w:r w:rsidRPr="00F245C1">
        <w:rPr>
          <w:lang w:eastAsia="cs-CZ"/>
        </w:rPr>
        <w:t>(poprvé za účetní období počínající 1. lednem 2016)</w:t>
      </w:r>
      <w:r>
        <w:rPr>
          <w:lang w:eastAsia="cs-CZ"/>
        </w:rPr>
        <w:t>, a poté sdíleny s finančními správami zúčastněných jurisdikcí.</w:t>
      </w:r>
    </w:p>
    <w:p w:rsidR="00113F0D" w:rsidRPr="007F0A4A" w:rsidRDefault="00113F0D" w:rsidP="00113F0D">
      <w:pPr>
        <w:tabs>
          <w:tab w:val="left" w:pos="3840"/>
        </w:tabs>
        <w:rPr>
          <w:lang w:eastAsia="cs-CZ"/>
        </w:rPr>
      </w:pPr>
    </w:p>
    <w:p w:rsidR="008E04B1" w:rsidRPr="007F0A4A" w:rsidRDefault="008E04B1" w:rsidP="005A37BD">
      <w:pPr>
        <w:tabs>
          <w:tab w:val="left" w:pos="3840"/>
        </w:tabs>
        <w:rPr>
          <w:lang w:eastAsia="cs-CZ"/>
        </w:rPr>
      </w:pPr>
    </w:p>
    <w:sectPr w:rsidR="008E04B1" w:rsidRPr="007F0A4A" w:rsidSect="00696B60">
      <w:headerReference w:type="default" r:id="rId8"/>
      <w:footerReference w:type="default" r:id="rId9"/>
      <w:pgSz w:w="11906" w:h="16838"/>
      <w:pgMar w:top="1417" w:right="1417" w:bottom="1417" w:left="1417" w:header="708" w:footer="708" w:gutter="0"/>
      <w:pgNumType w:fmt="numberInDash"/>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956" w:rsidRDefault="00BB1956">
      <w:r>
        <w:separator/>
      </w:r>
    </w:p>
  </w:endnote>
  <w:endnote w:type="continuationSeparator" w:id="0">
    <w:p w:rsidR="00BB1956" w:rsidRDefault="00BB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5F" w:usb2="00000000" w:usb3="00000000" w:csb0="0000019F" w:csb1="00000000"/>
  </w:font>
  <w:font w:name="Tahoma">
    <w:panose1 w:val="020B0604030504040204"/>
    <w:charset w:val="EE"/>
    <w:family w:val="swiss"/>
    <w:pitch w:val="variable"/>
    <w:sig w:usb0="E1002EFF" w:usb1="C000605B" w:usb2="00000029" w:usb3="00000000" w:csb0="000101FF" w:csb1="00000000"/>
  </w:font>
  <w:font w:name="CMR12">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56" w:rsidRDefault="00BB1956">
    <w:pPr>
      <w:pStyle w:val="Zpat"/>
      <w:jc w:val="center"/>
    </w:pPr>
    <w:r>
      <w:fldChar w:fldCharType="begin"/>
    </w:r>
    <w:r>
      <w:instrText>PAGE   \* MERGEFORMAT</w:instrText>
    </w:r>
    <w:r>
      <w:fldChar w:fldCharType="separate"/>
    </w:r>
    <w:r w:rsidR="00CA32E9">
      <w:rPr>
        <w:noProof/>
      </w:rPr>
      <w:t>- 42 -</w:t>
    </w:r>
    <w:r>
      <w:rPr>
        <w:noProof/>
      </w:rPr>
      <w:fldChar w:fldCharType="end"/>
    </w:r>
  </w:p>
  <w:p w:rsidR="00BB1956" w:rsidRDefault="00BB195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956" w:rsidRDefault="00BB1956">
      <w:r>
        <w:separator/>
      </w:r>
    </w:p>
  </w:footnote>
  <w:footnote w:type="continuationSeparator" w:id="0">
    <w:p w:rsidR="00BB1956" w:rsidRDefault="00BB1956">
      <w:r>
        <w:continuationSeparator/>
      </w:r>
    </w:p>
  </w:footnote>
  <w:footnote w:id="1">
    <w:p w:rsidR="00BB1956" w:rsidRDefault="00BB1956">
      <w:pPr>
        <w:pStyle w:val="Textpoznpodarou"/>
      </w:pPr>
      <w:r>
        <w:rPr>
          <w:rStyle w:val="Znakapoznpodarou"/>
        </w:rPr>
        <w:footnoteRef/>
      </w:r>
      <w:r>
        <w:t xml:space="preserve"> </w:t>
      </w:r>
      <w:hyperlink r:id="rId1" w:history="1">
        <w:r w:rsidRPr="00165474">
          <w:rPr>
            <w:rStyle w:val="Hypertextovodkaz"/>
          </w:rPr>
          <w:t>http://www.oecd.org/tax/measuring-and-monitoring-beps-action-11-2015-final-report-9789264241343-en.htm</w:t>
        </w:r>
      </w:hyperlink>
    </w:p>
  </w:footnote>
  <w:footnote w:id="2">
    <w:p w:rsidR="00BB1956" w:rsidRDefault="00BB1956">
      <w:pPr>
        <w:pStyle w:val="Textpoznpodarou"/>
      </w:pPr>
      <w:r>
        <w:rPr>
          <w:rStyle w:val="Znakapoznpodarou"/>
        </w:rPr>
        <w:footnoteRef/>
      </w:r>
      <w:r>
        <w:t xml:space="preserve"> </w:t>
      </w:r>
      <w:hyperlink r:id="rId2" w:history="1">
        <w:r w:rsidRPr="00165474">
          <w:rPr>
            <w:rStyle w:val="Hypertextovodkaz"/>
          </w:rPr>
          <w:t>http://www.oecd.org/tax/addressing-base-erosion-and-profit-shifting-9789264192744-en.htm</w:t>
        </w:r>
      </w:hyperlink>
    </w:p>
  </w:footnote>
  <w:footnote w:id="3">
    <w:p w:rsidR="00BB1956" w:rsidRDefault="00BB1956">
      <w:pPr>
        <w:pStyle w:val="Textpoznpodarou"/>
      </w:pPr>
      <w:r>
        <w:rPr>
          <w:rStyle w:val="Znakapoznpodarou"/>
        </w:rPr>
        <w:footnoteRef/>
      </w:r>
      <w:r>
        <w:t xml:space="preserve"> </w:t>
      </w:r>
      <w:hyperlink r:id="rId3" w:history="1">
        <w:r w:rsidRPr="00165474">
          <w:rPr>
            <w:rStyle w:val="Hypertextovodkaz"/>
          </w:rPr>
          <w:t>http://www.oecd.org/tax/action-plan-on-base-erosion-and-profit-shifting-9789264202719-en.htm</w:t>
        </w:r>
      </w:hyperlink>
    </w:p>
  </w:footnote>
  <w:footnote w:id="4">
    <w:p w:rsidR="00BB1956" w:rsidRDefault="00BB1956">
      <w:pPr>
        <w:pStyle w:val="Textpoznpodarou"/>
      </w:pPr>
      <w:r>
        <w:rPr>
          <w:rStyle w:val="Znakapoznpodarou"/>
        </w:rPr>
        <w:footnoteRef/>
      </w:r>
      <w:r>
        <w:t xml:space="preserve"> </w:t>
      </w:r>
      <w:hyperlink r:id="rId4" w:history="1">
        <w:r w:rsidRPr="00165474">
          <w:rPr>
            <w:rStyle w:val="Hypertextovodkaz"/>
          </w:rPr>
          <w:t>http://www.oecd.org/tax/aggressive/beps-2015-final-reports.htm</w:t>
        </w:r>
      </w:hyperlink>
    </w:p>
  </w:footnote>
  <w:footnote w:id="5">
    <w:p w:rsidR="00BB1956" w:rsidRDefault="00BB1956">
      <w:pPr>
        <w:pStyle w:val="Textpoznpodarou"/>
      </w:pPr>
      <w:r>
        <w:rPr>
          <w:rStyle w:val="Znakapoznpodarou"/>
        </w:rPr>
        <w:footnoteRef/>
      </w:r>
      <w:r>
        <w:t xml:space="preserve"> </w:t>
      </w:r>
      <w:hyperlink r:id="rId5" w:history="1">
        <w:r w:rsidRPr="00165474">
          <w:rPr>
            <w:rStyle w:val="Hypertextovodkaz"/>
          </w:rPr>
          <w:t>http://europa.eu/rapid/press-release_IP-16-159_cs.htm</w:t>
        </w:r>
      </w:hyperlink>
    </w:p>
  </w:footnote>
  <w:footnote w:id="6">
    <w:p w:rsidR="00BB1956" w:rsidRDefault="00BB1956" w:rsidP="00F81F7D">
      <w:pPr>
        <w:autoSpaceDE w:val="0"/>
        <w:autoSpaceDN w:val="0"/>
        <w:adjustRightInd w:val="0"/>
        <w:rPr>
          <w:rFonts w:ascii="Times New Roman" w:hAnsi="Times New Roman"/>
          <w:sz w:val="18"/>
          <w:szCs w:val="18"/>
        </w:rPr>
      </w:pPr>
      <w:r>
        <w:rPr>
          <w:rStyle w:val="Znakapoznpodarou"/>
        </w:rPr>
        <w:footnoteRef/>
      </w:r>
      <w:r>
        <w:t xml:space="preserve"> </w:t>
      </w:r>
      <w:proofErr w:type="spellStart"/>
      <w:r w:rsidRPr="00A25BB2">
        <w:rPr>
          <w:rFonts w:ascii="Times New Roman" w:eastAsia="CMR12" w:hAnsi="Times New Roman"/>
          <w:sz w:val="18"/>
          <w:szCs w:val="18"/>
        </w:rPr>
        <w:t>Egger</w:t>
      </w:r>
      <w:r>
        <w:rPr>
          <w:rFonts w:ascii="Times New Roman" w:eastAsia="CMR12" w:hAnsi="Times New Roman"/>
          <w:sz w:val="18"/>
          <w:szCs w:val="18"/>
        </w:rPr>
        <w:t>y</w:t>
      </w:r>
      <w:proofErr w:type="spellEnd"/>
      <w:r>
        <w:rPr>
          <w:rFonts w:ascii="Times New Roman" w:eastAsia="CMR12" w:hAnsi="Times New Roman"/>
          <w:sz w:val="18"/>
          <w:szCs w:val="18"/>
        </w:rPr>
        <w:t>, P. a</w:t>
      </w:r>
      <w:r w:rsidRPr="00A25BB2">
        <w:rPr>
          <w:rFonts w:ascii="Times New Roman" w:eastAsia="CMR12" w:hAnsi="Times New Roman"/>
          <w:i/>
          <w:iCs/>
          <w:sz w:val="18"/>
          <w:szCs w:val="18"/>
        </w:rPr>
        <w:t xml:space="preserve"> </w:t>
      </w:r>
      <w:r w:rsidRPr="00A25BB2">
        <w:rPr>
          <w:rFonts w:ascii="Times New Roman" w:eastAsia="CMR12" w:hAnsi="Times New Roman"/>
          <w:sz w:val="18"/>
          <w:szCs w:val="18"/>
        </w:rPr>
        <w:t>G</w:t>
      </w:r>
      <w:r>
        <w:rPr>
          <w:rFonts w:ascii="Times New Roman" w:eastAsia="CMR12" w:hAnsi="Times New Roman"/>
          <w:sz w:val="18"/>
          <w:szCs w:val="18"/>
        </w:rPr>
        <w:t>.</w:t>
      </w:r>
      <w:r w:rsidRPr="00A25BB2">
        <w:rPr>
          <w:rFonts w:ascii="Times New Roman" w:eastAsia="CMR12" w:hAnsi="Times New Roman"/>
          <w:sz w:val="18"/>
          <w:szCs w:val="18"/>
        </w:rPr>
        <w:t xml:space="preserve"> </w:t>
      </w:r>
      <w:proofErr w:type="spellStart"/>
      <w:r w:rsidRPr="00A25BB2">
        <w:rPr>
          <w:rFonts w:ascii="Times New Roman" w:eastAsia="CMR12" w:hAnsi="Times New Roman"/>
          <w:sz w:val="18"/>
          <w:szCs w:val="18"/>
        </w:rPr>
        <w:t>Wamser</w:t>
      </w:r>
      <w:proofErr w:type="spellEnd"/>
      <w:r w:rsidRPr="00A25BB2">
        <w:rPr>
          <w:rFonts w:ascii="Times New Roman" w:eastAsia="CMR12" w:hAnsi="Times New Roman"/>
          <w:sz w:val="18"/>
          <w:szCs w:val="18"/>
        </w:rPr>
        <w:t xml:space="preserve"> </w:t>
      </w:r>
      <w:r>
        <w:rPr>
          <w:rFonts w:ascii="Times New Roman" w:eastAsia="CMR12" w:hAnsi="Times New Roman"/>
          <w:sz w:val="18"/>
          <w:szCs w:val="18"/>
        </w:rPr>
        <w:t>(</w:t>
      </w:r>
      <w:r w:rsidRPr="00A25BB2">
        <w:rPr>
          <w:rFonts w:ascii="Times New Roman" w:eastAsia="CMR12" w:hAnsi="Times New Roman"/>
          <w:sz w:val="18"/>
          <w:szCs w:val="18"/>
        </w:rPr>
        <w:t>201</w:t>
      </w:r>
      <w:r>
        <w:rPr>
          <w:rFonts w:ascii="Times New Roman" w:eastAsia="CMR12" w:hAnsi="Times New Roman"/>
          <w:sz w:val="18"/>
          <w:szCs w:val="18"/>
        </w:rPr>
        <w:t>1)</w:t>
      </w:r>
      <w:r w:rsidRPr="00A25BB2">
        <w:rPr>
          <w:rFonts w:ascii="Times New Roman" w:eastAsia="CMR12" w:hAnsi="Times New Roman"/>
          <w:sz w:val="18"/>
          <w:szCs w:val="18"/>
        </w:rPr>
        <w:t xml:space="preserve">: </w:t>
      </w:r>
      <w:r>
        <w:rPr>
          <w:rFonts w:ascii="Times New Roman" w:eastAsia="CMR12" w:hAnsi="Times New Roman"/>
          <w:sz w:val="18"/>
          <w:szCs w:val="18"/>
        </w:rPr>
        <w:t>„</w:t>
      </w:r>
      <w:proofErr w:type="spellStart"/>
      <w:r w:rsidRPr="00F81F7D">
        <w:rPr>
          <w:rFonts w:ascii="Times New Roman" w:eastAsia="CMR12" w:hAnsi="Times New Roman"/>
          <w:sz w:val="18"/>
          <w:szCs w:val="18"/>
        </w:rPr>
        <w:t>The</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Impact</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of</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Controlled</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Foreign</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Company</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Legislation</w:t>
      </w:r>
      <w:proofErr w:type="spellEnd"/>
      <w:r w:rsidRPr="00F81F7D">
        <w:rPr>
          <w:rFonts w:ascii="Times New Roman" w:eastAsia="CMR12" w:hAnsi="Times New Roman"/>
          <w:sz w:val="18"/>
          <w:szCs w:val="18"/>
        </w:rPr>
        <w:t xml:space="preserve"> on Real </w:t>
      </w:r>
      <w:proofErr w:type="spellStart"/>
      <w:r w:rsidRPr="00F81F7D">
        <w:rPr>
          <w:rFonts w:ascii="Times New Roman" w:eastAsia="CMR12" w:hAnsi="Times New Roman"/>
          <w:sz w:val="18"/>
          <w:szCs w:val="18"/>
        </w:rPr>
        <w:t>Investments</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Abroad</w:t>
      </w:r>
      <w:proofErr w:type="spellEnd"/>
      <w:r w:rsidRPr="00F81F7D">
        <w:rPr>
          <w:rFonts w:ascii="Times New Roman" w:eastAsia="CMR12" w:hAnsi="Times New Roman"/>
          <w:sz w:val="18"/>
          <w:szCs w:val="18"/>
        </w:rPr>
        <w:t xml:space="preserve">: A </w:t>
      </w:r>
      <w:proofErr w:type="spellStart"/>
      <w:r w:rsidRPr="00F81F7D">
        <w:rPr>
          <w:rFonts w:ascii="Times New Roman" w:eastAsia="CMR12" w:hAnsi="Times New Roman"/>
          <w:sz w:val="18"/>
          <w:szCs w:val="18"/>
        </w:rPr>
        <w:t>Two-Dimensional</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Regression</w:t>
      </w:r>
      <w:proofErr w:type="spellEnd"/>
      <w:r w:rsidRPr="00F81F7D">
        <w:rPr>
          <w:rFonts w:ascii="Times New Roman" w:eastAsia="CMR12" w:hAnsi="Times New Roman"/>
          <w:sz w:val="18"/>
          <w:szCs w:val="18"/>
        </w:rPr>
        <w:t xml:space="preserve"> </w:t>
      </w:r>
      <w:proofErr w:type="spellStart"/>
      <w:r w:rsidRPr="00F81F7D">
        <w:rPr>
          <w:rFonts w:ascii="Times New Roman" w:eastAsia="CMR12" w:hAnsi="Times New Roman"/>
          <w:sz w:val="18"/>
          <w:szCs w:val="18"/>
        </w:rPr>
        <w:t>Discontinuity</w:t>
      </w:r>
      <w:proofErr w:type="spellEnd"/>
      <w:r w:rsidRPr="00F81F7D">
        <w:rPr>
          <w:rFonts w:ascii="Times New Roman" w:eastAsia="CMR12" w:hAnsi="Times New Roman"/>
          <w:sz w:val="18"/>
          <w:szCs w:val="18"/>
        </w:rPr>
        <w:t xml:space="preserve"> Design</w:t>
      </w:r>
      <w:r>
        <w:rPr>
          <w:rFonts w:ascii="Times New Roman" w:hAnsi="Times New Roman"/>
          <w:sz w:val="18"/>
          <w:szCs w:val="18"/>
        </w:rPr>
        <w:t xml:space="preserve">“. Staženo z </w:t>
      </w:r>
      <w:hyperlink r:id="rId6" w:history="1">
        <w:r w:rsidRPr="00FF69B3">
          <w:rPr>
            <w:rStyle w:val="Hypertextovodkaz"/>
            <w:rFonts w:ascii="Times New Roman" w:hAnsi="Times New Roman"/>
            <w:sz w:val="18"/>
            <w:szCs w:val="18"/>
          </w:rPr>
          <w:t>http://papers.ssrn.com/sol3/papers.cfm?abstract_id=1889963</w:t>
        </w:r>
      </w:hyperlink>
    </w:p>
    <w:p w:rsidR="00BB1956" w:rsidRDefault="00BB1956" w:rsidP="00F81F7D">
      <w:pPr>
        <w:autoSpaceDE w:val="0"/>
        <w:autoSpaceDN w:val="0"/>
        <w:adjustRightInd w:val="0"/>
      </w:pPr>
      <w:r w:rsidRPr="00A25BB2">
        <w:rPr>
          <w:rFonts w:ascii="Times New Roman" w:eastAsia="CMR12" w:hAnsi="Times New Roman"/>
          <w:sz w:val="18"/>
          <w:szCs w:val="18"/>
        </w:rPr>
        <w:t>M</w:t>
      </w:r>
      <w:r>
        <w:rPr>
          <w:rFonts w:ascii="Times New Roman" w:eastAsia="CMR12" w:hAnsi="Times New Roman"/>
          <w:sz w:val="18"/>
          <w:szCs w:val="18"/>
        </w:rPr>
        <w:t xml:space="preserve">. </w:t>
      </w:r>
      <w:proofErr w:type="spellStart"/>
      <w:r w:rsidRPr="00A25BB2">
        <w:rPr>
          <w:rFonts w:ascii="Times New Roman" w:eastAsia="CMR12" w:hAnsi="Times New Roman"/>
          <w:sz w:val="18"/>
          <w:szCs w:val="18"/>
        </w:rPr>
        <w:t>Mardan</w:t>
      </w:r>
      <w:proofErr w:type="spellEnd"/>
      <w:r>
        <w:rPr>
          <w:rFonts w:ascii="Times New Roman" w:eastAsia="CMR12" w:hAnsi="Times New Roman"/>
          <w:sz w:val="18"/>
          <w:szCs w:val="18"/>
        </w:rPr>
        <w:t>,</w:t>
      </w:r>
      <w:r w:rsidRPr="00A25BB2">
        <w:rPr>
          <w:rFonts w:ascii="Times New Roman" w:eastAsia="CMR12" w:hAnsi="Times New Roman"/>
          <w:sz w:val="18"/>
          <w:szCs w:val="18"/>
        </w:rPr>
        <w:t xml:space="preserve"> A</w:t>
      </w:r>
      <w:r>
        <w:rPr>
          <w:rFonts w:ascii="Times New Roman" w:eastAsia="CMR12" w:hAnsi="Times New Roman"/>
          <w:sz w:val="18"/>
          <w:szCs w:val="18"/>
        </w:rPr>
        <w:t>.</w:t>
      </w:r>
      <w:r w:rsidRPr="00A25BB2">
        <w:rPr>
          <w:rFonts w:ascii="Times New Roman" w:eastAsia="CMR12" w:hAnsi="Times New Roman"/>
          <w:sz w:val="18"/>
          <w:szCs w:val="18"/>
        </w:rPr>
        <w:t xml:space="preserve"> </w:t>
      </w:r>
      <w:proofErr w:type="spellStart"/>
      <w:r w:rsidRPr="00A25BB2">
        <w:rPr>
          <w:rFonts w:ascii="Times New Roman" w:eastAsia="CMR12" w:hAnsi="Times New Roman"/>
          <w:sz w:val="18"/>
          <w:szCs w:val="18"/>
        </w:rPr>
        <w:t>Haufler</w:t>
      </w:r>
      <w:proofErr w:type="spellEnd"/>
      <w:r w:rsidRPr="00A25BB2">
        <w:rPr>
          <w:rFonts w:ascii="Times New Roman" w:eastAsia="CMR12" w:hAnsi="Times New Roman"/>
          <w:sz w:val="18"/>
          <w:szCs w:val="18"/>
        </w:rPr>
        <w:t xml:space="preserve">, </w:t>
      </w:r>
      <w:r>
        <w:rPr>
          <w:rFonts w:ascii="Times New Roman" w:eastAsia="CMR12" w:hAnsi="Times New Roman"/>
          <w:sz w:val="18"/>
          <w:szCs w:val="18"/>
        </w:rPr>
        <w:t xml:space="preserve">a </w:t>
      </w:r>
      <w:r w:rsidRPr="00A25BB2">
        <w:rPr>
          <w:rFonts w:ascii="Times New Roman" w:eastAsia="CMR12" w:hAnsi="Times New Roman"/>
          <w:sz w:val="18"/>
          <w:szCs w:val="18"/>
        </w:rPr>
        <w:t>D</w:t>
      </w:r>
      <w:r>
        <w:rPr>
          <w:rFonts w:ascii="Times New Roman" w:eastAsia="CMR12" w:hAnsi="Times New Roman"/>
          <w:sz w:val="18"/>
          <w:szCs w:val="18"/>
        </w:rPr>
        <w:t xml:space="preserve">. </w:t>
      </w:r>
      <w:r w:rsidRPr="00A25BB2">
        <w:rPr>
          <w:rFonts w:ascii="Times New Roman" w:eastAsia="CMR12" w:hAnsi="Times New Roman"/>
          <w:sz w:val="18"/>
          <w:szCs w:val="18"/>
        </w:rPr>
        <w:t xml:space="preserve">Schindler </w:t>
      </w:r>
      <w:r>
        <w:rPr>
          <w:rFonts w:ascii="Times New Roman" w:eastAsia="CMR12" w:hAnsi="Times New Roman"/>
          <w:sz w:val="18"/>
          <w:szCs w:val="18"/>
        </w:rPr>
        <w:t>(</w:t>
      </w:r>
      <w:r w:rsidRPr="00A25BB2">
        <w:rPr>
          <w:rFonts w:ascii="Times New Roman" w:eastAsia="CMR12" w:hAnsi="Times New Roman"/>
          <w:sz w:val="18"/>
          <w:szCs w:val="18"/>
        </w:rPr>
        <w:t>2014</w:t>
      </w:r>
      <w:r>
        <w:rPr>
          <w:rFonts w:ascii="Times New Roman" w:eastAsia="CMR12" w:hAnsi="Times New Roman"/>
          <w:sz w:val="18"/>
          <w:szCs w:val="18"/>
        </w:rPr>
        <w:t>): „</w:t>
      </w:r>
      <w:proofErr w:type="spellStart"/>
      <w:r w:rsidRPr="00A25BB2">
        <w:rPr>
          <w:rFonts w:ascii="Times New Roman" w:hAnsi="Times New Roman"/>
          <w:sz w:val="18"/>
          <w:szCs w:val="18"/>
        </w:rPr>
        <w:t>An</w:t>
      </w:r>
      <w:proofErr w:type="spellEnd"/>
      <w:r w:rsidRPr="00A25BB2">
        <w:rPr>
          <w:rFonts w:ascii="Times New Roman" w:hAnsi="Times New Roman"/>
          <w:sz w:val="18"/>
          <w:szCs w:val="18"/>
        </w:rPr>
        <w:t xml:space="preserve"> </w:t>
      </w:r>
      <w:proofErr w:type="spellStart"/>
      <w:r w:rsidRPr="00A25BB2">
        <w:rPr>
          <w:rFonts w:ascii="Times New Roman" w:hAnsi="Times New Roman"/>
          <w:sz w:val="18"/>
          <w:szCs w:val="18"/>
        </w:rPr>
        <w:t>Economic</w:t>
      </w:r>
      <w:proofErr w:type="spellEnd"/>
      <w:r w:rsidRPr="00A25BB2">
        <w:rPr>
          <w:rFonts w:ascii="Times New Roman" w:hAnsi="Times New Roman"/>
          <w:sz w:val="18"/>
          <w:szCs w:val="18"/>
        </w:rPr>
        <w:t xml:space="preserve"> </w:t>
      </w:r>
      <w:proofErr w:type="spellStart"/>
      <w:r w:rsidRPr="00A25BB2">
        <w:rPr>
          <w:rFonts w:ascii="Times New Roman" w:hAnsi="Times New Roman"/>
          <w:sz w:val="18"/>
          <w:szCs w:val="18"/>
        </w:rPr>
        <w:t>Rationale</w:t>
      </w:r>
      <w:proofErr w:type="spellEnd"/>
      <w:r w:rsidRPr="00A25BB2">
        <w:rPr>
          <w:rFonts w:ascii="Times New Roman" w:hAnsi="Times New Roman"/>
          <w:sz w:val="18"/>
          <w:szCs w:val="18"/>
        </w:rPr>
        <w:t xml:space="preserve"> </w:t>
      </w:r>
      <w:proofErr w:type="spellStart"/>
      <w:r w:rsidRPr="00A25BB2">
        <w:rPr>
          <w:rFonts w:ascii="Times New Roman" w:hAnsi="Times New Roman"/>
          <w:sz w:val="18"/>
          <w:szCs w:val="18"/>
        </w:rPr>
        <w:t>for</w:t>
      </w:r>
      <w:proofErr w:type="spellEnd"/>
      <w:r w:rsidRPr="00A25BB2">
        <w:rPr>
          <w:rFonts w:ascii="Times New Roman" w:hAnsi="Times New Roman"/>
          <w:sz w:val="18"/>
          <w:szCs w:val="18"/>
        </w:rPr>
        <w:t xml:space="preserve"> </w:t>
      </w:r>
      <w:proofErr w:type="spellStart"/>
      <w:r w:rsidRPr="00A25BB2">
        <w:rPr>
          <w:rFonts w:ascii="Times New Roman" w:hAnsi="Times New Roman"/>
          <w:sz w:val="18"/>
          <w:szCs w:val="18"/>
        </w:rPr>
        <w:t>Contr</w:t>
      </w:r>
      <w:r>
        <w:rPr>
          <w:rFonts w:ascii="Times New Roman" w:hAnsi="Times New Roman"/>
          <w:sz w:val="18"/>
          <w:szCs w:val="18"/>
        </w:rPr>
        <w:t>olled-Foreign-Corporation</w:t>
      </w:r>
      <w:proofErr w:type="spellEnd"/>
      <w:r>
        <w:rPr>
          <w:rFonts w:ascii="Times New Roman" w:hAnsi="Times New Roman"/>
          <w:sz w:val="18"/>
          <w:szCs w:val="18"/>
        </w:rPr>
        <w:t xml:space="preserve"> </w:t>
      </w:r>
      <w:proofErr w:type="spellStart"/>
      <w:r>
        <w:rPr>
          <w:rFonts w:ascii="Times New Roman" w:hAnsi="Times New Roman"/>
          <w:sz w:val="18"/>
          <w:szCs w:val="18"/>
        </w:rPr>
        <w:t>Rules</w:t>
      </w:r>
      <w:proofErr w:type="spellEnd"/>
      <w:r>
        <w:rPr>
          <w:rFonts w:ascii="Times New Roman" w:hAnsi="Times New Roman"/>
          <w:sz w:val="18"/>
          <w:szCs w:val="18"/>
        </w:rPr>
        <w:t xml:space="preserve">“. Staženo z </w:t>
      </w:r>
      <w:hyperlink r:id="rId7" w:history="1">
        <w:r w:rsidRPr="00FF69B3">
          <w:rPr>
            <w:rStyle w:val="Hypertextovodkaz"/>
            <w:rFonts w:ascii="Times New Roman" w:hAnsi="Times New Roman"/>
            <w:sz w:val="18"/>
            <w:szCs w:val="18"/>
          </w:rPr>
          <w:t>https://ideas.repec.org/p/zbw/vfsc14/100405.html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56" w:rsidRPr="00FC3968" w:rsidRDefault="00BB1956" w:rsidP="00FE5E7B">
    <w:pPr>
      <w:pStyle w:val="Zhlav"/>
      <w:spacing w:before="0"/>
      <w:jc w:val="right"/>
      <w:rPr>
        <w:color w:val="808080"/>
        <w:sz w:val="20"/>
      </w:rPr>
    </w:pPr>
    <w:r w:rsidRPr="00FC3968">
      <w:rPr>
        <w:color w:val="808080"/>
        <w:sz w:val="20"/>
      </w:rPr>
      <w:t>Ministerstvo financí</w:t>
    </w:r>
    <w:r>
      <w:rPr>
        <w:color w:val="808080"/>
        <w:sz w:val="20"/>
      </w:rPr>
      <w:t xml:space="preserve"> – pracovní text</w:t>
    </w:r>
  </w:p>
  <w:p w:rsidR="00BB1956" w:rsidRPr="00FC3968" w:rsidRDefault="00BB1956" w:rsidP="00FE5E7B">
    <w:pPr>
      <w:pStyle w:val="Zhlav"/>
      <w:spacing w:before="0"/>
      <w:jc w:val="right"/>
      <w:rPr>
        <w:color w:val="808080"/>
        <w:sz w:val="20"/>
      </w:rPr>
    </w:pPr>
    <w:r>
      <w:rPr>
        <w:color w:val="808080"/>
        <w:sz w:val="20"/>
      </w:rPr>
      <w:t>M</w:t>
    </w:r>
    <w:r w:rsidRPr="00FC3968">
      <w:rPr>
        <w:color w:val="808080"/>
        <w:sz w:val="20"/>
      </w:rPr>
      <w:t>ezinárodní iniciativy proti vyhýbání se daňovým povinnostem v oblasti přímých daní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744"/>
    <w:multiLevelType w:val="hybridMultilevel"/>
    <w:tmpl w:val="9A10E7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540E88"/>
    <w:multiLevelType w:val="hybridMultilevel"/>
    <w:tmpl w:val="6A9C7B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4113EA8"/>
    <w:multiLevelType w:val="hybridMultilevel"/>
    <w:tmpl w:val="0B2E209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nsid w:val="08E60EBE"/>
    <w:multiLevelType w:val="hybridMultilevel"/>
    <w:tmpl w:val="1C041E90"/>
    <w:lvl w:ilvl="0" w:tplc="D8D057C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nsid w:val="09D30852"/>
    <w:multiLevelType w:val="hybridMultilevel"/>
    <w:tmpl w:val="B2E202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A051590"/>
    <w:multiLevelType w:val="hybridMultilevel"/>
    <w:tmpl w:val="A4223D62"/>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nsid w:val="12101E09"/>
    <w:multiLevelType w:val="hybridMultilevel"/>
    <w:tmpl w:val="2DF43B46"/>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196D0EAD"/>
    <w:multiLevelType w:val="hybridMultilevel"/>
    <w:tmpl w:val="510A6E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9AB6695"/>
    <w:multiLevelType w:val="hybridMultilevel"/>
    <w:tmpl w:val="52C609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AD2148C"/>
    <w:multiLevelType w:val="hybridMultilevel"/>
    <w:tmpl w:val="C0C260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E903A4D"/>
    <w:multiLevelType w:val="hybridMultilevel"/>
    <w:tmpl w:val="3C12F9D6"/>
    <w:lvl w:ilvl="0" w:tplc="2B36459E">
      <w:start w:val="1"/>
      <w:numFmt w:val="bullet"/>
      <w:pStyle w:val="Odrky"/>
      <w:lvlText w:val=""/>
      <w:lvlJc w:val="left"/>
      <w:pPr>
        <w:ind w:left="1074" w:hanging="360"/>
      </w:pPr>
      <w:rPr>
        <w:rFonts w:ascii="Symbol" w:hAnsi="Symbol" w:hint="default"/>
      </w:rPr>
    </w:lvl>
    <w:lvl w:ilvl="1" w:tplc="04050003" w:tentative="1">
      <w:start w:val="1"/>
      <w:numFmt w:val="bullet"/>
      <w:lvlText w:val="o"/>
      <w:lvlJc w:val="left"/>
      <w:pPr>
        <w:ind w:left="1797" w:hanging="360"/>
      </w:pPr>
      <w:rPr>
        <w:rFonts w:ascii="Courier New" w:hAnsi="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1">
    <w:nsid w:val="210A35EF"/>
    <w:multiLevelType w:val="hybridMultilevel"/>
    <w:tmpl w:val="9BB619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5ED21E2"/>
    <w:multiLevelType w:val="hybridMultilevel"/>
    <w:tmpl w:val="1CB8254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nsid w:val="2A466B64"/>
    <w:multiLevelType w:val="hybridMultilevel"/>
    <w:tmpl w:val="6B10D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BD96B8A"/>
    <w:multiLevelType w:val="hybridMultilevel"/>
    <w:tmpl w:val="C114C5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FC67E2A"/>
    <w:multiLevelType w:val="hybridMultilevel"/>
    <w:tmpl w:val="F86E1BF6"/>
    <w:lvl w:ilvl="0" w:tplc="04050001">
      <w:start w:val="1"/>
      <w:numFmt w:val="bullet"/>
      <w:lvlText w:val=""/>
      <w:lvlJc w:val="left"/>
      <w:pPr>
        <w:ind w:left="360" w:hanging="360"/>
      </w:pPr>
      <w:rPr>
        <w:rFonts w:ascii="Symbol" w:hAnsi="Symbol" w:hint="default"/>
      </w:rPr>
    </w:lvl>
    <w:lvl w:ilvl="1" w:tplc="155CB27A">
      <w:numFmt w:val="bullet"/>
      <w:lvlText w:val="•"/>
      <w:lvlJc w:val="left"/>
      <w:pPr>
        <w:ind w:left="1425" w:hanging="705"/>
      </w:pPr>
      <w:rPr>
        <w:rFonts w:ascii="Times New Roman" w:eastAsia="Times New Roman" w:hAnsi="Times New Roman"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nsid w:val="34CC24B8"/>
    <w:multiLevelType w:val="hybridMultilevel"/>
    <w:tmpl w:val="B864606C"/>
    <w:lvl w:ilvl="0" w:tplc="0405000F">
      <w:start w:val="1"/>
      <w:numFmt w:val="decimal"/>
      <w:lvlText w:val="%1."/>
      <w:lvlJc w:val="left"/>
      <w:pPr>
        <w:ind w:left="1440" w:hanging="360"/>
      </w:pPr>
      <w:rPr>
        <w:rFonts w:cs="Times New Roman"/>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7">
    <w:nsid w:val="36202690"/>
    <w:multiLevelType w:val="hybridMultilevel"/>
    <w:tmpl w:val="372AD2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65060E5"/>
    <w:multiLevelType w:val="hybridMultilevel"/>
    <w:tmpl w:val="05B42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8195467"/>
    <w:multiLevelType w:val="hybridMultilevel"/>
    <w:tmpl w:val="65700B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9D449E4"/>
    <w:multiLevelType w:val="hybridMultilevel"/>
    <w:tmpl w:val="7CD692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4FF4026"/>
    <w:multiLevelType w:val="hybridMultilevel"/>
    <w:tmpl w:val="71541E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A501138"/>
    <w:multiLevelType w:val="hybridMultilevel"/>
    <w:tmpl w:val="37DEB4CC"/>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539F4016"/>
    <w:multiLevelType w:val="multilevel"/>
    <w:tmpl w:val="139C8460"/>
    <w:lvl w:ilvl="0">
      <w:start w:val="1"/>
      <w:numFmt w:val="decimal"/>
      <w:lvlText w:val="%1)"/>
      <w:lvlJc w:val="left"/>
      <w:pPr>
        <w:ind w:left="1068" w:hanging="360"/>
      </w:pPr>
      <w:rPr>
        <w:rFonts w:cs="Times New Roman"/>
        <w:b/>
      </w:rPr>
    </w:lvl>
    <w:lvl w:ilvl="1">
      <w:start w:val="1"/>
      <w:numFmt w:val="lowerLetter"/>
      <w:lvlText w:val="%2)"/>
      <w:lvlJc w:val="left"/>
      <w:pPr>
        <w:ind w:left="1428" w:hanging="360"/>
      </w:pPr>
      <w:rPr>
        <w:rFonts w:cs="Times New Roman"/>
      </w:rPr>
    </w:lvl>
    <w:lvl w:ilvl="2">
      <w:start w:val="1"/>
      <w:numFmt w:val="lowerRoman"/>
      <w:lvlText w:val="%3)"/>
      <w:lvlJc w:val="left"/>
      <w:pPr>
        <w:ind w:left="1788" w:hanging="360"/>
      </w:pPr>
      <w:rPr>
        <w:rFonts w:cs="Times New Roman"/>
      </w:rPr>
    </w:lvl>
    <w:lvl w:ilvl="3">
      <w:start w:val="1"/>
      <w:numFmt w:val="decimal"/>
      <w:lvlText w:val="(%4)"/>
      <w:lvlJc w:val="left"/>
      <w:pPr>
        <w:ind w:left="2148" w:hanging="360"/>
      </w:pPr>
      <w:rPr>
        <w:rFonts w:cs="Times New Roman"/>
      </w:rPr>
    </w:lvl>
    <w:lvl w:ilvl="4">
      <w:start w:val="1"/>
      <w:numFmt w:val="lowerLetter"/>
      <w:lvlText w:val="(%5)"/>
      <w:lvlJc w:val="left"/>
      <w:pPr>
        <w:ind w:left="2508" w:hanging="360"/>
      </w:pPr>
      <w:rPr>
        <w:rFonts w:cs="Times New Roman"/>
      </w:rPr>
    </w:lvl>
    <w:lvl w:ilvl="5">
      <w:start w:val="1"/>
      <w:numFmt w:val="lowerRoman"/>
      <w:lvlText w:val="(%6)"/>
      <w:lvlJc w:val="left"/>
      <w:pPr>
        <w:ind w:left="2868" w:hanging="360"/>
      </w:pPr>
      <w:rPr>
        <w:rFonts w:cs="Times New Roman"/>
      </w:rPr>
    </w:lvl>
    <w:lvl w:ilvl="6">
      <w:start w:val="1"/>
      <w:numFmt w:val="decimal"/>
      <w:lvlText w:val="%7."/>
      <w:lvlJc w:val="left"/>
      <w:pPr>
        <w:ind w:left="3228" w:hanging="360"/>
      </w:pPr>
      <w:rPr>
        <w:rFonts w:cs="Times New Roman"/>
      </w:rPr>
    </w:lvl>
    <w:lvl w:ilvl="7">
      <w:start w:val="1"/>
      <w:numFmt w:val="lowerLetter"/>
      <w:lvlText w:val="%8."/>
      <w:lvlJc w:val="left"/>
      <w:pPr>
        <w:ind w:left="3588" w:hanging="360"/>
      </w:pPr>
      <w:rPr>
        <w:rFonts w:cs="Times New Roman"/>
      </w:rPr>
    </w:lvl>
    <w:lvl w:ilvl="8">
      <w:start w:val="1"/>
      <w:numFmt w:val="lowerRoman"/>
      <w:lvlText w:val="%9."/>
      <w:lvlJc w:val="left"/>
      <w:pPr>
        <w:ind w:left="3948" w:hanging="360"/>
      </w:pPr>
      <w:rPr>
        <w:rFonts w:cs="Times New Roman"/>
      </w:rPr>
    </w:lvl>
  </w:abstractNum>
  <w:abstractNum w:abstractNumId="24">
    <w:nsid w:val="5DC21CFC"/>
    <w:multiLevelType w:val="hybridMultilevel"/>
    <w:tmpl w:val="656EC3A4"/>
    <w:lvl w:ilvl="0" w:tplc="1152F5C0">
      <w:start w:val="1"/>
      <w:numFmt w:val="bullet"/>
      <w:lvlText w:val="•"/>
      <w:lvlJc w:val="left"/>
      <w:pPr>
        <w:tabs>
          <w:tab w:val="num" w:pos="720"/>
        </w:tabs>
        <w:ind w:left="720" w:hanging="360"/>
      </w:pPr>
      <w:rPr>
        <w:rFonts w:ascii="Arial" w:hAnsi="Arial" w:hint="default"/>
      </w:rPr>
    </w:lvl>
    <w:lvl w:ilvl="1" w:tplc="625E387A">
      <w:start w:val="1288"/>
      <w:numFmt w:val="bullet"/>
      <w:lvlText w:val="–"/>
      <w:lvlJc w:val="left"/>
      <w:pPr>
        <w:tabs>
          <w:tab w:val="num" w:pos="1440"/>
        </w:tabs>
        <w:ind w:left="1440" w:hanging="360"/>
      </w:pPr>
      <w:rPr>
        <w:rFonts w:ascii="Arial" w:hAnsi="Arial" w:hint="default"/>
      </w:rPr>
    </w:lvl>
    <w:lvl w:ilvl="2" w:tplc="0A9C52B6">
      <w:start w:val="1"/>
      <w:numFmt w:val="bullet"/>
      <w:lvlText w:val="•"/>
      <w:lvlJc w:val="left"/>
      <w:pPr>
        <w:tabs>
          <w:tab w:val="num" w:pos="2160"/>
        </w:tabs>
        <w:ind w:left="2160" w:hanging="360"/>
      </w:pPr>
      <w:rPr>
        <w:rFonts w:ascii="Arial" w:hAnsi="Arial" w:hint="default"/>
      </w:rPr>
    </w:lvl>
    <w:lvl w:ilvl="3" w:tplc="935CCC04" w:tentative="1">
      <w:start w:val="1"/>
      <w:numFmt w:val="bullet"/>
      <w:lvlText w:val="•"/>
      <w:lvlJc w:val="left"/>
      <w:pPr>
        <w:tabs>
          <w:tab w:val="num" w:pos="2880"/>
        </w:tabs>
        <w:ind w:left="2880" w:hanging="360"/>
      </w:pPr>
      <w:rPr>
        <w:rFonts w:ascii="Arial" w:hAnsi="Arial" w:hint="default"/>
      </w:rPr>
    </w:lvl>
    <w:lvl w:ilvl="4" w:tplc="49AEFB96" w:tentative="1">
      <w:start w:val="1"/>
      <w:numFmt w:val="bullet"/>
      <w:lvlText w:val="•"/>
      <w:lvlJc w:val="left"/>
      <w:pPr>
        <w:tabs>
          <w:tab w:val="num" w:pos="3600"/>
        </w:tabs>
        <w:ind w:left="3600" w:hanging="360"/>
      </w:pPr>
      <w:rPr>
        <w:rFonts w:ascii="Arial" w:hAnsi="Arial" w:hint="default"/>
      </w:rPr>
    </w:lvl>
    <w:lvl w:ilvl="5" w:tplc="737AB04E" w:tentative="1">
      <w:start w:val="1"/>
      <w:numFmt w:val="bullet"/>
      <w:lvlText w:val="•"/>
      <w:lvlJc w:val="left"/>
      <w:pPr>
        <w:tabs>
          <w:tab w:val="num" w:pos="4320"/>
        </w:tabs>
        <w:ind w:left="4320" w:hanging="360"/>
      </w:pPr>
      <w:rPr>
        <w:rFonts w:ascii="Arial" w:hAnsi="Arial" w:hint="default"/>
      </w:rPr>
    </w:lvl>
    <w:lvl w:ilvl="6" w:tplc="0D8652EE" w:tentative="1">
      <w:start w:val="1"/>
      <w:numFmt w:val="bullet"/>
      <w:lvlText w:val="•"/>
      <w:lvlJc w:val="left"/>
      <w:pPr>
        <w:tabs>
          <w:tab w:val="num" w:pos="5040"/>
        </w:tabs>
        <w:ind w:left="5040" w:hanging="360"/>
      </w:pPr>
      <w:rPr>
        <w:rFonts w:ascii="Arial" w:hAnsi="Arial" w:hint="default"/>
      </w:rPr>
    </w:lvl>
    <w:lvl w:ilvl="7" w:tplc="CE2E641E" w:tentative="1">
      <w:start w:val="1"/>
      <w:numFmt w:val="bullet"/>
      <w:lvlText w:val="•"/>
      <w:lvlJc w:val="left"/>
      <w:pPr>
        <w:tabs>
          <w:tab w:val="num" w:pos="5760"/>
        </w:tabs>
        <w:ind w:left="5760" w:hanging="360"/>
      </w:pPr>
      <w:rPr>
        <w:rFonts w:ascii="Arial" w:hAnsi="Arial" w:hint="default"/>
      </w:rPr>
    </w:lvl>
    <w:lvl w:ilvl="8" w:tplc="35989624" w:tentative="1">
      <w:start w:val="1"/>
      <w:numFmt w:val="bullet"/>
      <w:lvlText w:val="•"/>
      <w:lvlJc w:val="left"/>
      <w:pPr>
        <w:tabs>
          <w:tab w:val="num" w:pos="6480"/>
        </w:tabs>
        <w:ind w:left="6480" w:hanging="360"/>
      </w:pPr>
      <w:rPr>
        <w:rFonts w:ascii="Arial" w:hAnsi="Arial" w:hint="default"/>
      </w:rPr>
    </w:lvl>
  </w:abstractNum>
  <w:abstractNum w:abstractNumId="25">
    <w:nsid w:val="5F272A94"/>
    <w:multiLevelType w:val="hybridMultilevel"/>
    <w:tmpl w:val="7B6434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FC67613"/>
    <w:multiLevelType w:val="multilevel"/>
    <w:tmpl w:val="590EC78E"/>
    <w:lvl w:ilvl="0">
      <w:start w:val="1"/>
      <w:numFmt w:val="decimal"/>
      <w:pStyle w:val="Nadpis1"/>
      <w:lvlText w:val="%1."/>
      <w:lvlJc w:val="left"/>
      <w:pPr>
        <w:ind w:left="360" w:hanging="360"/>
      </w:pPr>
      <w:rPr>
        <w:rFonts w:cs="Times New Roman" w:hint="default"/>
      </w:rPr>
    </w:lvl>
    <w:lvl w:ilvl="1">
      <w:start w:val="1"/>
      <w:numFmt w:val="decimal"/>
      <w:pStyle w:val="Nadpis2"/>
      <w:lvlText w:val="%1.%2."/>
      <w:lvlJc w:val="left"/>
      <w:pPr>
        <w:ind w:left="1850" w:hanging="432"/>
      </w:pPr>
      <w:rPr>
        <w:rFonts w:cs="Times New Roman" w:hint="default"/>
        <w:i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nsid w:val="63AF0F9A"/>
    <w:multiLevelType w:val="hybridMultilevel"/>
    <w:tmpl w:val="7B32A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64C06D5E"/>
    <w:multiLevelType w:val="hybridMultilevel"/>
    <w:tmpl w:val="123E45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A4471BF"/>
    <w:multiLevelType w:val="hybridMultilevel"/>
    <w:tmpl w:val="4CA4B594"/>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nsid w:val="6AAF1A1F"/>
    <w:multiLevelType w:val="multilevel"/>
    <w:tmpl w:val="D152D292"/>
    <w:lvl w:ilvl="0">
      <w:start w:val="1"/>
      <w:numFmt w:val="decimal"/>
      <w:pStyle w:val="Textodstavce"/>
      <w:isLgl/>
      <w:lvlText w:val="(%1)"/>
      <w:lvlJc w:val="left"/>
      <w:pPr>
        <w:tabs>
          <w:tab w:val="num" w:pos="782"/>
        </w:tabs>
        <w:ind w:firstLine="425"/>
      </w:pPr>
      <w:rPr>
        <w:rFonts w:cs="Times New Roman"/>
      </w:rPr>
    </w:lvl>
    <w:lvl w:ilvl="1">
      <w:start w:val="1"/>
      <w:numFmt w:val="lowerLetter"/>
      <w:pStyle w:val="Textpsmene"/>
      <w:lvlText w:val="%2)"/>
      <w:lvlJc w:val="left"/>
      <w:pPr>
        <w:tabs>
          <w:tab w:val="num" w:pos="425"/>
        </w:tabs>
        <w:ind w:left="425" w:hanging="425"/>
      </w:pPr>
      <w:rPr>
        <w:rFonts w:cs="Times New Roman"/>
      </w:rPr>
    </w:lvl>
    <w:lvl w:ilvl="2">
      <w:start w:val="1"/>
      <w:numFmt w:val="decimal"/>
      <w:pStyle w:val="Textbodu"/>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31">
    <w:nsid w:val="6C47217A"/>
    <w:multiLevelType w:val="hybridMultilevel"/>
    <w:tmpl w:val="9788DC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nsid w:val="6DF343F4"/>
    <w:multiLevelType w:val="hybridMultilevel"/>
    <w:tmpl w:val="55CCD94E"/>
    <w:lvl w:ilvl="0" w:tplc="0405000F">
      <w:start w:val="1"/>
      <w:numFmt w:val="decimal"/>
      <w:lvlText w:val="%1."/>
      <w:lvlJc w:val="left"/>
      <w:pPr>
        <w:ind w:left="720" w:hanging="360"/>
      </w:pPr>
      <w:rPr>
        <w:rFonts w:cs="Times New Roman"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726C64F7"/>
    <w:multiLevelType w:val="hybridMultilevel"/>
    <w:tmpl w:val="306E6A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2AA2209"/>
    <w:multiLevelType w:val="hybridMultilevel"/>
    <w:tmpl w:val="F05CB99C"/>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5">
    <w:nsid w:val="74A3537C"/>
    <w:multiLevelType w:val="hybridMultilevel"/>
    <w:tmpl w:val="E88270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75785CEC"/>
    <w:multiLevelType w:val="hybridMultilevel"/>
    <w:tmpl w:val="065EB1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777A52EE"/>
    <w:multiLevelType w:val="hybridMultilevel"/>
    <w:tmpl w:val="C13219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94229D4"/>
    <w:multiLevelType w:val="hybridMultilevel"/>
    <w:tmpl w:val="E6C8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nsid w:val="7ADE56E0"/>
    <w:multiLevelType w:val="hybridMultilevel"/>
    <w:tmpl w:val="41EC72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6"/>
  </w:num>
  <w:num w:numId="4">
    <w:abstractNumId w:val="9"/>
  </w:num>
  <w:num w:numId="5">
    <w:abstractNumId w:val="38"/>
  </w:num>
  <w:num w:numId="6">
    <w:abstractNumId w:val="31"/>
  </w:num>
  <w:num w:numId="7">
    <w:abstractNumId w:val="12"/>
  </w:num>
  <w:num w:numId="8">
    <w:abstractNumId w:val="36"/>
  </w:num>
  <w:num w:numId="9">
    <w:abstractNumId w:val="23"/>
  </w:num>
  <w:num w:numId="10">
    <w:abstractNumId w:val="20"/>
  </w:num>
  <w:num w:numId="11">
    <w:abstractNumId w:val="0"/>
  </w:num>
  <w:num w:numId="12">
    <w:abstractNumId w:val="34"/>
  </w:num>
  <w:num w:numId="13">
    <w:abstractNumId w:val="3"/>
  </w:num>
  <w:num w:numId="14">
    <w:abstractNumId w:val="33"/>
  </w:num>
  <w:num w:numId="15">
    <w:abstractNumId w:val="35"/>
  </w:num>
  <w:num w:numId="16">
    <w:abstractNumId w:val="25"/>
  </w:num>
  <w:num w:numId="17">
    <w:abstractNumId w:val="27"/>
  </w:num>
  <w:num w:numId="18">
    <w:abstractNumId w:val="39"/>
  </w:num>
  <w:num w:numId="19">
    <w:abstractNumId w:val="21"/>
  </w:num>
  <w:num w:numId="20">
    <w:abstractNumId w:val="1"/>
  </w:num>
  <w:num w:numId="21">
    <w:abstractNumId w:val="17"/>
  </w:num>
  <w:num w:numId="22">
    <w:abstractNumId w:val="2"/>
  </w:num>
  <w:num w:numId="23">
    <w:abstractNumId w:val="4"/>
  </w:num>
  <w:num w:numId="24">
    <w:abstractNumId w:val="22"/>
  </w:num>
  <w:num w:numId="25">
    <w:abstractNumId w:val="37"/>
  </w:num>
  <w:num w:numId="26">
    <w:abstractNumId w:val="29"/>
  </w:num>
  <w:num w:numId="27">
    <w:abstractNumId w:val="13"/>
  </w:num>
  <w:num w:numId="28">
    <w:abstractNumId w:val="19"/>
  </w:num>
  <w:num w:numId="29">
    <w:abstractNumId w:val="28"/>
  </w:num>
  <w:num w:numId="30">
    <w:abstractNumId w:val="32"/>
  </w:num>
  <w:num w:numId="31">
    <w:abstractNumId w:val="11"/>
  </w:num>
  <w:num w:numId="32">
    <w:abstractNumId w:val="6"/>
  </w:num>
  <w:num w:numId="33">
    <w:abstractNumId w:val="7"/>
  </w:num>
  <w:num w:numId="34">
    <w:abstractNumId w:val="5"/>
  </w:num>
  <w:num w:numId="35">
    <w:abstractNumId w:val="24"/>
  </w:num>
  <w:num w:numId="36">
    <w:abstractNumId w:val="15"/>
  </w:num>
  <w:num w:numId="37">
    <w:abstractNumId w:val="14"/>
  </w:num>
  <w:num w:numId="38">
    <w:abstractNumId w:val="8"/>
  </w:num>
  <w:num w:numId="39">
    <w:abstractNumId w:val="26"/>
  </w:num>
  <w:num w:numId="40">
    <w:abstractNumId w:val="18"/>
  </w:num>
  <w:num w:numId="41">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628"/>
    <w:rsid w:val="00003621"/>
    <w:rsid w:val="00005C0D"/>
    <w:rsid w:val="0000750C"/>
    <w:rsid w:val="00007870"/>
    <w:rsid w:val="000102B8"/>
    <w:rsid w:val="00010984"/>
    <w:rsid w:val="00010C04"/>
    <w:rsid w:val="00010ECE"/>
    <w:rsid w:val="00011E2D"/>
    <w:rsid w:val="00012DBE"/>
    <w:rsid w:val="00013EC7"/>
    <w:rsid w:val="00014BC5"/>
    <w:rsid w:val="000150C5"/>
    <w:rsid w:val="00016B09"/>
    <w:rsid w:val="00016B73"/>
    <w:rsid w:val="00020089"/>
    <w:rsid w:val="00020525"/>
    <w:rsid w:val="00025D61"/>
    <w:rsid w:val="00026957"/>
    <w:rsid w:val="0002792D"/>
    <w:rsid w:val="000328C1"/>
    <w:rsid w:val="00032D70"/>
    <w:rsid w:val="00033D4D"/>
    <w:rsid w:val="0003621C"/>
    <w:rsid w:val="00036694"/>
    <w:rsid w:val="000367F3"/>
    <w:rsid w:val="00036E12"/>
    <w:rsid w:val="000373FF"/>
    <w:rsid w:val="00041599"/>
    <w:rsid w:val="00043814"/>
    <w:rsid w:val="00046E62"/>
    <w:rsid w:val="00046FB7"/>
    <w:rsid w:val="0005153B"/>
    <w:rsid w:val="00053303"/>
    <w:rsid w:val="00055EA7"/>
    <w:rsid w:val="00056D09"/>
    <w:rsid w:val="00060772"/>
    <w:rsid w:val="00060BC7"/>
    <w:rsid w:val="000612D3"/>
    <w:rsid w:val="000619FC"/>
    <w:rsid w:val="00061E24"/>
    <w:rsid w:val="00065654"/>
    <w:rsid w:val="00067C0D"/>
    <w:rsid w:val="0007052B"/>
    <w:rsid w:val="00070CB6"/>
    <w:rsid w:val="00071897"/>
    <w:rsid w:val="000740E8"/>
    <w:rsid w:val="00074264"/>
    <w:rsid w:val="0007431B"/>
    <w:rsid w:val="0007489D"/>
    <w:rsid w:val="00074B13"/>
    <w:rsid w:val="00076487"/>
    <w:rsid w:val="00077AF0"/>
    <w:rsid w:val="000809C0"/>
    <w:rsid w:val="00082100"/>
    <w:rsid w:val="0008242A"/>
    <w:rsid w:val="00085926"/>
    <w:rsid w:val="0008625C"/>
    <w:rsid w:val="00086740"/>
    <w:rsid w:val="00087873"/>
    <w:rsid w:val="00087CC9"/>
    <w:rsid w:val="00091628"/>
    <w:rsid w:val="000919C9"/>
    <w:rsid w:val="00093D16"/>
    <w:rsid w:val="00096514"/>
    <w:rsid w:val="000966CD"/>
    <w:rsid w:val="000A007D"/>
    <w:rsid w:val="000A07F3"/>
    <w:rsid w:val="000A2125"/>
    <w:rsid w:val="000A2FCE"/>
    <w:rsid w:val="000A386C"/>
    <w:rsid w:val="000A5BA5"/>
    <w:rsid w:val="000A6C10"/>
    <w:rsid w:val="000B09B3"/>
    <w:rsid w:val="000B0A59"/>
    <w:rsid w:val="000B1628"/>
    <w:rsid w:val="000B2493"/>
    <w:rsid w:val="000B3908"/>
    <w:rsid w:val="000B3E45"/>
    <w:rsid w:val="000B4B3B"/>
    <w:rsid w:val="000B6152"/>
    <w:rsid w:val="000B7CF8"/>
    <w:rsid w:val="000C10C1"/>
    <w:rsid w:val="000C154B"/>
    <w:rsid w:val="000C38FC"/>
    <w:rsid w:val="000C504F"/>
    <w:rsid w:val="000C51D1"/>
    <w:rsid w:val="000C6936"/>
    <w:rsid w:val="000C6F5E"/>
    <w:rsid w:val="000C7869"/>
    <w:rsid w:val="000C7CED"/>
    <w:rsid w:val="000D0172"/>
    <w:rsid w:val="000D16E7"/>
    <w:rsid w:val="000D335C"/>
    <w:rsid w:val="000D40B2"/>
    <w:rsid w:val="000D7EB3"/>
    <w:rsid w:val="000D7ECD"/>
    <w:rsid w:val="000E009D"/>
    <w:rsid w:val="000E03FC"/>
    <w:rsid w:val="000E05E5"/>
    <w:rsid w:val="000E21E0"/>
    <w:rsid w:val="000E4F4C"/>
    <w:rsid w:val="000E564F"/>
    <w:rsid w:val="000E6FEA"/>
    <w:rsid w:val="000F0CE7"/>
    <w:rsid w:val="000F2B38"/>
    <w:rsid w:val="000F396F"/>
    <w:rsid w:val="000F653A"/>
    <w:rsid w:val="000F7573"/>
    <w:rsid w:val="000F7D7C"/>
    <w:rsid w:val="001006C0"/>
    <w:rsid w:val="00100733"/>
    <w:rsid w:val="00101E0B"/>
    <w:rsid w:val="0010294F"/>
    <w:rsid w:val="0010334B"/>
    <w:rsid w:val="00103B09"/>
    <w:rsid w:val="0010406C"/>
    <w:rsid w:val="001047F0"/>
    <w:rsid w:val="00104A56"/>
    <w:rsid w:val="00105EB6"/>
    <w:rsid w:val="00106D8D"/>
    <w:rsid w:val="0010756F"/>
    <w:rsid w:val="00110A95"/>
    <w:rsid w:val="00113F0D"/>
    <w:rsid w:val="00117197"/>
    <w:rsid w:val="0012410A"/>
    <w:rsid w:val="00125CCC"/>
    <w:rsid w:val="00130FA7"/>
    <w:rsid w:val="0013572C"/>
    <w:rsid w:val="00137AD5"/>
    <w:rsid w:val="001402A3"/>
    <w:rsid w:val="00142AD8"/>
    <w:rsid w:val="00142DD6"/>
    <w:rsid w:val="001442EC"/>
    <w:rsid w:val="00144D5B"/>
    <w:rsid w:val="001463A2"/>
    <w:rsid w:val="00150332"/>
    <w:rsid w:val="00151B57"/>
    <w:rsid w:val="001569F1"/>
    <w:rsid w:val="00162D84"/>
    <w:rsid w:val="00163562"/>
    <w:rsid w:val="00165164"/>
    <w:rsid w:val="00165474"/>
    <w:rsid w:val="00165A3A"/>
    <w:rsid w:val="001711BB"/>
    <w:rsid w:val="00172677"/>
    <w:rsid w:val="001728B0"/>
    <w:rsid w:val="00172E45"/>
    <w:rsid w:val="001730C2"/>
    <w:rsid w:val="00173A17"/>
    <w:rsid w:val="00173CA3"/>
    <w:rsid w:val="001743C1"/>
    <w:rsid w:val="0017560E"/>
    <w:rsid w:val="001758EF"/>
    <w:rsid w:val="0017647B"/>
    <w:rsid w:val="00176849"/>
    <w:rsid w:val="001804B9"/>
    <w:rsid w:val="0018523C"/>
    <w:rsid w:val="00192CAD"/>
    <w:rsid w:val="00192D0E"/>
    <w:rsid w:val="0019368E"/>
    <w:rsid w:val="001946C4"/>
    <w:rsid w:val="001A1350"/>
    <w:rsid w:val="001A352F"/>
    <w:rsid w:val="001A3A8E"/>
    <w:rsid w:val="001A53FE"/>
    <w:rsid w:val="001A63C3"/>
    <w:rsid w:val="001A779D"/>
    <w:rsid w:val="001B70DE"/>
    <w:rsid w:val="001B7DB8"/>
    <w:rsid w:val="001C20DA"/>
    <w:rsid w:val="001C2F6F"/>
    <w:rsid w:val="001C38C5"/>
    <w:rsid w:val="001C39CD"/>
    <w:rsid w:val="001C48C6"/>
    <w:rsid w:val="001C6117"/>
    <w:rsid w:val="001C75C1"/>
    <w:rsid w:val="001D05E0"/>
    <w:rsid w:val="001D11AA"/>
    <w:rsid w:val="001D18CD"/>
    <w:rsid w:val="001D2DF9"/>
    <w:rsid w:val="001D30C5"/>
    <w:rsid w:val="001D31F1"/>
    <w:rsid w:val="001D4CBE"/>
    <w:rsid w:val="001D5932"/>
    <w:rsid w:val="001D6CFD"/>
    <w:rsid w:val="001D76AF"/>
    <w:rsid w:val="001E1166"/>
    <w:rsid w:val="001E362A"/>
    <w:rsid w:val="001E49A7"/>
    <w:rsid w:val="001E4FEF"/>
    <w:rsid w:val="001E6521"/>
    <w:rsid w:val="001E7FDA"/>
    <w:rsid w:val="001F1167"/>
    <w:rsid w:val="001F15E0"/>
    <w:rsid w:val="001F1E0C"/>
    <w:rsid w:val="001F26A6"/>
    <w:rsid w:val="001F2D77"/>
    <w:rsid w:val="001F2F90"/>
    <w:rsid w:val="001F4AAF"/>
    <w:rsid w:val="001F61B9"/>
    <w:rsid w:val="001F745E"/>
    <w:rsid w:val="001F7B94"/>
    <w:rsid w:val="001F7FBB"/>
    <w:rsid w:val="002024B7"/>
    <w:rsid w:val="00202703"/>
    <w:rsid w:val="0020385A"/>
    <w:rsid w:val="00203F24"/>
    <w:rsid w:val="00203F35"/>
    <w:rsid w:val="00203F8F"/>
    <w:rsid w:val="00207BA9"/>
    <w:rsid w:val="00207D2B"/>
    <w:rsid w:val="00207F4A"/>
    <w:rsid w:val="00213DC3"/>
    <w:rsid w:val="00213E34"/>
    <w:rsid w:val="002141A9"/>
    <w:rsid w:val="00215252"/>
    <w:rsid w:val="00217A21"/>
    <w:rsid w:val="00220C2B"/>
    <w:rsid w:val="00223563"/>
    <w:rsid w:val="00224217"/>
    <w:rsid w:val="002256BE"/>
    <w:rsid w:val="00225C2E"/>
    <w:rsid w:val="00225CA5"/>
    <w:rsid w:val="002263AF"/>
    <w:rsid w:val="002279AB"/>
    <w:rsid w:val="00227FFE"/>
    <w:rsid w:val="002304EB"/>
    <w:rsid w:val="002309E9"/>
    <w:rsid w:val="0023128C"/>
    <w:rsid w:val="00235CC6"/>
    <w:rsid w:val="002409D9"/>
    <w:rsid w:val="00241151"/>
    <w:rsid w:val="002411E8"/>
    <w:rsid w:val="002415DE"/>
    <w:rsid w:val="00241843"/>
    <w:rsid w:val="00241A78"/>
    <w:rsid w:val="00241FA2"/>
    <w:rsid w:val="00243540"/>
    <w:rsid w:val="002448E5"/>
    <w:rsid w:val="00245BD1"/>
    <w:rsid w:val="0024617D"/>
    <w:rsid w:val="00246CC1"/>
    <w:rsid w:val="0024776D"/>
    <w:rsid w:val="002506F2"/>
    <w:rsid w:val="00250BE9"/>
    <w:rsid w:val="00252032"/>
    <w:rsid w:val="002524F3"/>
    <w:rsid w:val="002552C7"/>
    <w:rsid w:val="0025593F"/>
    <w:rsid w:val="0025640C"/>
    <w:rsid w:val="002565A8"/>
    <w:rsid w:val="00260256"/>
    <w:rsid w:val="002615F7"/>
    <w:rsid w:val="0026195C"/>
    <w:rsid w:val="00261AF8"/>
    <w:rsid w:val="00262227"/>
    <w:rsid w:val="0026267B"/>
    <w:rsid w:val="002644F0"/>
    <w:rsid w:val="002648C2"/>
    <w:rsid w:val="002649C4"/>
    <w:rsid w:val="00265F48"/>
    <w:rsid w:val="002758CB"/>
    <w:rsid w:val="002812D1"/>
    <w:rsid w:val="00282368"/>
    <w:rsid w:val="0028275B"/>
    <w:rsid w:val="00285D9C"/>
    <w:rsid w:val="002875EC"/>
    <w:rsid w:val="00290A94"/>
    <w:rsid w:val="00293F1C"/>
    <w:rsid w:val="002972FD"/>
    <w:rsid w:val="00297811"/>
    <w:rsid w:val="002A0BA1"/>
    <w:rsid w:val="002A14A8"/>
    <w:rsid w:val="002A5A98"/>
    <w:rsid w:val="002A62AF"/>
    <w:rsid w:val="002A68D5"/>
    <w:rsid w:val="002A6CB5"/>
    <w:rsid w:val="002A72D4"/>
    <w:rsid w:val="002A78CA"/>
    <w:rsid w:val="002B01C6"/>
    <w:rsid w:val="002B041F"/>
    <w:rsid w:val="002B202A"/>
    <w:rsid w:val="002B62E7"/>
    <w:rsid w:val="002B6548"/>
    <w:rsid w:val="002C1279"/>
    <w:rsid w:val="002C2578"/>
    <w:rsid w:val="002C385F"/>
    <w:rsid w:val="002C3BCB"/>
    <w:rsid w:val="002C4989"/>
    <w:rsid w:val="002C52F2"/>
    <w:rsid w:val="002C6944"/>
    <w:rsid w:val="002D078C"/>
    <w:rsid w:val="002D08E1"/>
    <w:rsid w:val="002D260C"/>
    <w:rsid w:val="002D4A32"/>
    <w:rsid w:val="002D575B"/>
    <w:rsid w:val="002D5CFB"/>
    <w:rsid w:val="002D5DF8"/>
    <w:rsid w:val="002D6A37"/>
    <w:rsid w:val="002D6E73"/>
    <w:rsid w:val="002E035E"/>
    <w:rsid w:val="002E0CB2"/>
    <w:rsid w:val="002E29B0"/>
    <w:rsid w:val="002E38AA"/>
    <w:rsid w:val="002E5103"/>
    <w:rsid w:val="002E7C7D"/>
    <w:rsid w:val="002F063D"/>
    <w:rsid w:val="002F1328"/>
    <w:rsid w:val="002F17D8"/>
    <w:rsid w:val="002F232D"/>
    <w:rsid w:val="002F3C24"/>
    <w:rsid w:val="002F4FA3"/>
    <w:rsid w:val="002F562D"/>
    <w:rsid w:val="002F5A6A"/>
    <w:rsid w:val="002F5BD3"/>
    <w:rsid w:val="002F616A"/>
    <w:rsid w:val="002F73D2"/>
    <w:rsid w:val="002F7965"/>
    <w:rsid w:val="003000ED"/>
    <w:rsid w:val="003009F3"/>
    <w:rsid w:val="00301739"/>
    <w:rsid w:val="00302230"/>
    <w:rsid w:val="00306B3E"/>
    <w:rsid w:val="0031023B"/>
    <w:rsid w:val="00311D40"/>
    <w:rsid w:val="00311D93"/>
    <w:rsid w:val="00312959"/>
    <w:rsid w:val="00314237"/>
    <w:rsid w:val="0031620D"/>
    <w:rsid w:val="003205ED"/>
    <w:rsid w:val="00322755"/>
    <w:rsid w:val="003240AF"/>
    <w:rsid w:val="0032519E"/>
    <w:rsid w:val="003258B7"/>
    <w:rsid w:val="00325DD5"/>
    <w:rsid w:val="00326854"/>
    <w:rsid w:val="00331C69"/>
    <w:rsid w:val="00331EA5"/>
    <w:rsid w:val="0033213E"/>
    <w:rsid w:val="00332205"/>
    <w:rsid w:val="00332C88"/>
    <w:rsid w:val="003338E9"/>
    <w:rsid w:val="00334460"/>
    <w:rsid w:val="00337CB4"/>
    <w:rsid w:val="00340FB8"/>
    <w:rsid w:val="0034143C"/>
    <w:rsid w:val="00341AC7"/>
    <w:rsid w:val="00342611"/>
    <w:rsid w:val="003452AC"/>
    <w:rsid w:val="00346D2F"/>
    <w:rsid w:val="0034778A"/>
    <w:rsid w:val="00350A3E"/>
    <w:rsid w:val="00351646"/>
    <w:rsid w:val="00352BD6"/>
    <w:rsid w:val="00354999"/>
    <w:rsid w:val="00361B15"/>
    <w:rsid w:val="00363021"/>
    <w:rsid w:val="003637CF"/>
    <w:rsid w:val="00363B16"/>
    <w:rsid w:val="003708EC"/>
    <w:rsid w:val="0037091A"/>
    <w:rsid w:val="00372C0C"/>
    <w:rsid w:val="00372E9A"/>
    <w:rsid w:val="00373F56"/>
    <w:rsid w:val="0037579B"/>
    <w:rsid w:val="0037688D"/>
    <w:rsid w:val="003808C7"/>
    <w:rsid w:val="00381AD2"/>
    <w:rsid w:val="00385727"/>
    <w:rsid w:val="003869B4"/>
    <w:rsid w:val="003875FD"/>
    <w:rsid w:val="0038766F"/>
    <w:rsid w:val="0038793B"/>
    <w:rsid w:val="0039257D"/>
    <w:rsid w:val="00393FD1"/>
    <w:rsid w:val="00395E7A"/>
    <w:rsid w:val="003A0254"/>
    <w:rsid w:val="003A060E"/>
    <w:rsid w:val="003A063D"/>
    <w:rsid w:val="003A07F8"/>
    <w:rsid w:val="003A0B55"/>
    <w:rsid w:val="003A23C4"/>
    <w:rsid w:val="003A260D"/>
    <w:rsid w:val="003A42BB"/>
    <w:rsid w:val="003A47DB"/>
    <w:rsid w:val="003A49B9"/>
    <w:rsid w:val="003A50C8"/>
    <w:rsid w:val="003A6B94"/>
    <w:rsid w:val="003A6F65"/>
    <w:rsid w:val="003B1A91"/>
    <w:rsid w:val="003B2536"/>
    <w:rsid w:val="003B5318"/>
    <w:rsid w:val="003B625B"/>
    <w:rsid w:val="003B6348"/>
    <w:rsid w:val="003B76E3"/>
    <w:rsid w:val="003C0E8E"/>
    <w:rsid w:val="003C2EC2"/>
    <w:rsid w:val="003C414F"/>
    <w:rsid w:val="003D007E"/>
    <w:rsid w:val="003D016E"/>
    <w:rsid w:val="003D3F3F"/>
    <w:rsid w:val="003D41E9"/>
    <w:rsid w:val="003D4524"/>
    <w:rsid w:val="003D4A0C"/>
    <w:rsid w:val="003D60E6"/>
    <w:rsid w:val="003D6EEF"/>
    <w:rsid w:val="003E0635"/>
    <w:rsid w:val="003E1CB0"/>
    <w:rsid w:val="003E24FE"/>
    <w:rsid w:val="003E39D9"/>
    <w:rsid w:val="003E5215"/>
    <w:rsid w:val="003E6910"/>
    <w:rsid w:val="003E6B2D"/>
    <w:rsid w:val="003F04C3"/>
    <w:rsid w:val="003F2065"/>
    <w:rsid w:val="003F274F"/>
    <w:rsid w:val="003F312D"/>
    <w:rsid w:val="003F43A7"/>
    <w:rsid w:val="003F4CD2"/>
    <w:rsid w:val="003F5026"/>
    <w:rsid w:val="003F5C11"/>
    <w:rsid w:val="003F6E64"/>
    <w:rsid w:val="003F73BB"/>
    <w:rsid w:val="003F773C"/>
    <w:rsid w:val="00400459"/>
    <w:rsid w:val="0040464F"/>
    <w:rsid w:val="0040494C"/>
    <w:rsid w:val="00404E85"/>
    <w:rsid w:val="004058DF"/>
    <w:rsid w:val="00405B1B"/>
    <w:rsid w:val="00406DFA"/>
    <w:rsid w:val="004078C1"/>
    <w:rsid w:val="00410BA8"/>
    <w:rsid w:val="00412F47"/>
    <w:rsid w:val="004144CE"/>
    <w:rsid w:val="00414A5D"/>
    <w:rsid w:val="00415AC0"/>
    <w:rsid w:val="004175E7"/>
    <w:rsid w:val="004177D2"/>
    <w:rsid w:val="00417B88"/>
    <w:rsid w:val="00420270"/>
    <w:rsid w:val="004203EA"/>
    <w:rsid w:val="00424F04"/>
    <w:rsid w:val="00425B52"/>
    <w:rsid w:val="00425BFF"/>
    <w:rsid w:val="004278CF"/>
    <w:rsid w:val="00427D48"/>
    <w:rsid w:val="00433162"/>
    <w:rsid w:val="00434004"/>
    <w:rsid w:val="004341AA"/>
    <w:rsid w:val="0043441F"/>
    <w:rsid w:val="00434C6D"/>
    <w:rsid w:val="004358DC"/>
    <w:rsid w:val="00441164"/>
    <w:rsid w:val="004426C7"/>
    <w:rsid w:val="00446036"/>
    <w:rsid w:val="004505C5"/>
    <w:rsid w:val="004519E6"/>
    <w:rsid w:val="00452E4B"/>
    <w:rsid w:val="00453183"/>
    <w:rsid w:val="00453D80"/>
    <w:rsid w:val="00454F46"/>
    <w:rsid w:val="0045586F"/>
    <w:rsid w:val="00457C8C"/>
    <w:rsid w:val="00462A78"/>
    <w:rsid w:val="00465F11"/>
    <w:rsid w:val="00467556"/>
    <w:rsid w:val="004703DF"/>
    <w:rsid w:val="00471B40"/>
    <w:rsid w:val="00474B82"/>
    <w:rsid w:val="00476AE5"/>
    <w:rsid w:val="00480882"/>
    <w:rsid w:val="0048404E"/>
    <w:rsid w:val="00484AC1"/>
    <w:rsid w:val="0048612E"/>
    <w:rsid w:val="0049053E"/>
    <w:rsid w:val="004919F1"/>
    <w:rsid w:val="004941DB"/>
    <w:rsid w:val="0049433D"/>
    <w:rsid w:val="004945B3"/>
    <w:rsid w:val="00494CF3"/>
    <w:rsid w:val="00495B1B"/>
    <w:rsid w:val="004971BF"/>
    <w:rsid w:val="004A0753"/>
    <w:rsid w:val="004A08CB"/>
    <w:rsid w:val="004A10E1"/>
    <w:rsid w:val="004A2480"/>
    <w:rsid w:val="004A3B18"/>
    <w:rsid w:val="004A4292"/>
    <w:rsid w:val="004A5C6E"/>
    <w:rsid w:val="004A623D"/>
    <w:rsid w:val="004A6DC0"/>
    <w:rsid w:val="004B1022"/>
    <w:rsid w:val="004B1585"/>
    <w:rsid w:val="004B19C6"/>
    <w:rsid w:val="004B1AF5"/>
    <w:rsid w:val="004B4841"/>
    <w:rsid w:val="004B4B8A"/>
    <w:rsid w:val="004B5312"/>
    <w:rsid w:val="004B5BCF"/>
    <w:rsid w:val="004B777A"/>
    <w:rsid w:val="004C111C"/>
    <w:rsid w:val="004C1D28"/>
    <w:rsid w:val="004C2570"/>
    <w:rsid w:val="004C2C63"/>
    <w:rsid w:val="004C364B"/>
    <w:rsid w:val="004C3C4F"/>
    <w:rsid w:val="004C3E76"/>
    <w:rsid w:val="004C5652"/>
    <w:rsid w:val="004C5A93"/>
    <w:rsid w:val="004C5BC7"/>
    <w:rsid w:val="004C6EFB"/>
    <w:rsid w:val="004D17F4"/>
    <w:rsid w:val="004D322F"/>
    <w:rsid w:val="004D5091"/>
    <w:rsid w:val="004D5625"/>
    <w:rsid w:val="004E0CFE"/>
    <w:rsid w:val="004E1AB8"/>
    <w:rsid w:val="004E2792"/>
    <w:rsid w:val="004E3137"/>
    <w:rsid w:val="004E3D87"/>
    <w:rsid w:val="004E7414"/>
    <w:rsid w:val="004E7F1B"/>
    <w:rsid w:val="004E7FD5"/>
    <w:rsid w:val="004F0AE3"/>
    <w:rsid w:val="004F30CB"/>
    <w:rsid w:val="004F3675"/>
    <w:rsid w:val="004F4819"/>
    <w:rsid w:val="004F62B3"/>
    <w:rsid w:val="004F762F"/>
    <w:rsid w:val="004F7CF2"/>
    <w:rsid w:val="00500E10"/>
    <w:rsid w:val="005020DC"/>
    <w:rsid w:val="00502D8F"/>
    <w:rsid w:val="00502E10"/>
    <w:rsid w:val="005057DF"/>
    <w:rsid w:val="005076A9"/>
    <w:rsid w:val="00507752"/>
    <w:rsid w:val="00510BFD"/>
    <w:rsid w:val="00512124"/>
    <w:rsid w:val="00513830"/>
    <w:rsid w:val="00514084"/>
    <w:rsid w:val="005144FF"/>
    <w:rsid w:val="0051701C"/>
    <w:rsid w:val="00521755"/>
    <w:rsid w:val="0052267A"/>
    <w:rsid w:val="00522D17"/>
    <w:rsid w:val="0052525B"/>
    <w:rsid w:val="00526AEB"/>
    <w:rsid w:val="00526E80"/>
    <w:rsid w:val="005272F2"/>
    <w:rsid w:val="00527DED"/>
    <w:rsid w:val="005322B1"/>
    <w:rsid w:val="005324BA"/>
    <w:rsid w:val="00537D69"/>
    <w:rsid w:val="00537EB5"/>
    <w:rsid w:val="00540D13"/>
    <w:rsid w:val="00543044"/>
    <w:rsid w:val="00544622"/>
    <w:rsid w:val="00546372"/>
    <w:rsid w:val="00550650"/>
    <w:rsid w:val="005510D3"/>
    <w:rsid w:val="005513D5"/>
    <w:rsid w:val="00554293"/>
    <w:rsid w:val="00554C52"/>
    <w:rsid w:val="00554D26"/>
    <w:rsid w:val="0055517D"/>
    <w:rsid w:val="00557F5B"/>
    <w:rsid w:val="0056034B"/>
    <w:rsid w:val="005612DA"/>
    <w:rsid w:val="00562703"/>
    <w:rsid w:val="005656A7"/>
    <w:rsid w:val="00565A6D"/>
    <w:rsid w:val="00566555"/>
    <w:rsid w:val="0057095C"/>
    <w:rsid w:val="005725AD"/>
    <w:rsid w:val="00572663"/>
    <w:rsid w:val="005806C2"/>
    <w:rsid w:val="00580E2E"/>
    <w:rsid w:val="0058156C"/>
    <w:rsid w:val="00582A09"/>
    <w:rsid w:val="005837D7"/>
    <w:rsid w:val="00585804"/>
    <w:rsid w:val="00586B80"/>
    <w:rsid w:val="00587232"/>
    <w:rsid w:val="005905EC"/>
    <w:rsid w:val="0059155B"/>
    <w:rsid w:val="00592757"/>
    <w:rsid w:val="005931F0"/>
    <w:rsid w:val="00593E0C"/>
    <w:rsid w:val="00593EE4"/>
    <w:rsid w:val="00594557"/>
    <w:rsid w:val="00595AA5"/>
    <w:rsid w:val="00596937"/>
    <w:rsid w:val="0059790E"/>
    <w:rsid w:val="005A1E74"/>
    <w:rsid w:val="005A2B66"/>
    <w:rsid w:val="005A34CD"/>
    <w:rsid w:val="005A37BD"/>
    <w:rsid w:val="005A42ED"/>
    <w:rsid w:val="005A4834"/>
    <w:rsid w:val="005A503F"/>
    <w:rsid w:val="005A68BF"/>
    <w:rsid w:val="005A7BF7"/>
    <w:rsid w:val="005B1918"/>
    <w:rsid w:val="005B3C11"/>
    <w:rsid w:val="005B71F5"/>
    <w:rsid w:val="005C2470"/>
    <w:rsid w:val="005C525E"/>
    <w:rsid w:val="005C662C"/>
    <w:rsid w:val="005C7440"/>
    <w:rsid w:val="005C76BF"/>
    <w:rsid w:val="005D035D"/>
    <w:rsid w:val="005D04BB"/>
    <w:rsid w:val="005D0A81"/>
    <w:rsid w:val="005D171B"/>
    <w:rsid w:val="005D31C1"/>
    <w:rsid w:val="005D361C"/>
    <w:rsid w:val="005D369D"/>
    <w:rsid w:val="005D38F5"/>
    <w:rsid w:val="005D3974"/>
    <w:rsid w:val="005D3D57"/>
    <w:rsid w:val="005D58CC"/>
    <w:rsid w:val="005D6887"/>
    <w:rsid w:val="005E131C"/>
    <w:rsid w:val="005E15E9"/>
    <w:rsid w:val="005E28AC"/>
    <w:rsid w:val="005E38B1"/>
    <w:rsid w:val="005E613E"/>
    <w:rsid w:val="005E6FF7"/>
    <w:rsid w:val="005E775A"/>
    <w:rsid w:val="005E79BE"/>
    <w:rsid w:val="005E7D4A"/>
    <w:rsid w:val="005F0960"/>
    <w:rsid w:val="005F0F87"/>
    <w:rsid w:val="005F1FFC"/>
    <w:rsid w:val="005F2845"/>
    <w:rsid w:val="005F4254"/>
    <w:rsid w:val="005F4D36"/>
    <w:rsid w:val="005F567A"/>
    <w:rsid w:val="005F6B53"/>
    <w:rsid w:val="005F7B33"/>
    <w:rsid w:val="005F7D54"/>
    <w:rsid w:val="006016BF"/>
    <w:rsid w:val="00601AB4"/>
    <w:rsid w:val="00601C15"/>
    <w:rsid w:val="00603805"/>
    <w:rsid w:val="00603911"/>
    <w:rsid w:val="0060558B"/>
    <w:rsid w:val="006055ED"/>
    <w:rsid w:val="00605A72"/>
    <w:rsid w:val="0060691B"/>
    <w:rsid w:val="00607AE1"/>
    <w:rsid w:val="00607FA9"/>
    <w:rsid w:val="00610091"/>
    <w:rsid w:val="00610DFE"/>
    <w:rsid w:val="00610FF3"/>
    <w:rsid w:val="00612020"/>
    <w:rsid w:val="00612F12"/>
    <w:rsid w:val="00613A32"/>
    <w:rsid w:val="0061497C"/>
    <w:rsid w:val="00617B79"/>
    <w:rsid w:val="00620715"/>
    <w:rsid w:val="00621C2E"/>
    <w:rsid w:val="00622B3A"/>
    <w:rsid w:val="00624E54"/>
    <w:rsid w:val="006252A3"/>
    <w:rsid w:val="00626B78"/>
    <w:rsid w:val="0063004B"/>
    <w:rsid w:val="00633BB6"/>
    <w:rsid w:val="006353CF"/>
    <w:rsid w:val="00635B88"/>
    <w:rsid w:val="0063787A"/>
    <w:rsid w:val="00637C62"/>
    <w:rsid w:val="006419B8"/>
    <w:rsid w:val="00642CFC"/>
    <w:rsid w:val="00643E4C"/>
    <w:rsid w:val="006445FA"/>
    <w:rsid w:val="00645D69"/>
    <w:rsid w:val="00647510"/>
    <w:rsid w:val="006506A4"/>
    <w:rsid w:val="0065095F"/>
    <w:rsid w:val="00651D33"/>
    <w:rsid w:val="006520E1"/>
    <w:rsid w:val="00652868"/>
    <w:rsid w:val="00653DDF"/>
    <w:rsid w:val="0065475C"/>
    <w:rsid w:val="0065571E"/>
    <w:rsid w:val="00655DF6"/>
    <w:rsid w:val="006561D1"/>
    <w:rsid w:val="0065694E"/>
    <w:rsid w:val="006574A6"/>
    <w:rsid w:val="00660229"/>
    <w:rsid w:val="006619C4"/>
    <w:rsid w:val="00662844"/>
    <w:rsid w:val="006631FC"/>
    <w:rsid w:val="00665992"/>
    <w:rsid w:val="00666B46"/>
    <w:rsid w:val="00666CBB"/>
    <w:rsid w:val="0067285D"/>
    <w:rsid w:val="00672A4B"/>
    <w:rsid w:val="00672D0C"/>
    <w:rsid w:val="00674031"/>
    <w:rsid w:val="00674441"/>
    <w:rsid w:val="006744CA"/>
    <w:rsid w:val="00674B1F"/>
    <w:rsid w:val="006753A9"/>
    <w:rsid w:val="00680340"/>
    <w:rsid w:val="006819A5"/>
    <w:rsid w:val="00681E65"/>
    <w:rsid w:val="00681EA6"/>
    <w:rsid w:val="00682377"/>
    <w:rsid w:val="00684478"/>
    <w:rsid w:val="00684C89"/>
    <w:rsid w:val="006851CC"/>
    <w:rsid w:val="00690018"/>
    <w:rsid w:val="00690F73"/>
    <w:rsid w:val="006914A2"/>
    <w:rsid w:val="006937D2"/>
    <w:rsid w:val="00694F60"/>
    <w:rsid w:val="00696B60"/>
    <w:rsid w:val="006A0B8B"/>
    <w:rsid w:val="006A20E3"/>
    <w:rsid w:val="006A2741"/>
    <w:rsid w:val="006A2DFF"/>
    <w:rsid w:val="006A4A83"/>
    <w:rsid w:val="006A4B2E"/>
    <w:rsid w:val="006A50ED"/>
    <w:rsid w:val="006A7716"/>
    <w:rsid w:val="006B469D"/>
    <w:rsid w:val="006B5F68"/>
    <w:rsid w:val="006B6439"/>
    <w:rsid w:val="006B6B0B"/>
    <w:rsid w:val="006C44C3"/>
    <w:rsid w:val="006C6619"/>
    <w:rsid w:val="006C7AAA"/>
    <w:rsid w:val="006D1E2E"/>
    <w:rsid w:val="006D35AB"/>
    <w:rsid w:val="006D4C21"/>
    <w:rsid w:val="006E065E"/>
    <w:rsid w:val="006E2097"/>
    <w:rsid w:val="006E2443"/>
    <w:rsid w:val="006E3540"/>
    <w:rsid w:val="006E63B9"/>
    <w:rsid w:val="006F065E"/>
    <w:rsid w:val="006F27B4"/>
    <w:rsid w:val="006F4198"/>
    <w:rsid w:val="006F4CC2"/>
    <w:rsid w:val="00700817"/>
    <w:rsid w:val="00700EC0"/>
    <w:rsid w:val="00703D11"/>
    <w:rsid w:val="007053AF"/>
    <w:rsid w:val="00706A89"/>
    <w:rsid w:val="00706F86"/>
    <w:rsid w:val="00707617"/>
    <w:rsid w:val="0071056B"/>
    <w:rsid w:val="00710FBD"/>
    <w:rsid w:val="00711385"/>
    <w:rsid w:val="00712AC6"/>
    <w:rsid w:val="00713348"/>
    <w:rsid w:val="00713E94"/>
    <w:rsid w:val="00713F48"/>
    <w:rsid w:val="00714670"/>
    <w:rsid w:val="00715769"/>
    <w:rsid w:val="0071614C"/>
    <w:rsid w:val="00717012"/>
    <w:rsid w:val="00717AEE"/>
    <w:rsid w:val="00720C7A"/>
    <w:rsid w:val="00720EB7"/>
    <w:rsid w:val="00721F01"/>
    <w:rsid w:val="00722214"/>
    <w:rsid w:val="00724281"/>
    <w:rsid w:val="00724380"/>
    <w:rsid w:val="007243A1"/>
    <w:rsid w:val="00724A69"/>
    <w:rsid w:val="007310D7"/>
    <w:rsid w:val="00731709"/>
    <w:rsid w:val="00731EE6"/>
    <w:rsid w:val="00735F6E"/>
    <w:rsid w:val="00740D1D"/>
    <w:rsid w:val="00741BC4"/>
    <w:rsid w:val="00746680"/>
    <w:rsid w:val="007501B6"/>
    <w:rsid w:val="0075170E"/>
    <w:rsid w:val="00753B55"/>
    <w:rsid w:val="00755121"/>
    <w:rsid w:val="00756729"/>
    <w:rsid w:val="00756787"/>
    <w:rsid w:val="00761498"/>
    <w:rsid w:val="0076210E"/>
    <w:rsid w:val="0076340B"/>
    <w:rsid w:val="0076613D"/>
    <w:rsid w:val="00766ED0"/>
    <w:rsid w:val="007673B8"/>
    <w:rsid w:val="00770DD3"/>
    <w:rsid w:val="00771C84"/>
    <w:rsid w:val="00771F61"/>
    <w:rsid w:val="00772188"/>
    <w:rsid w:val="007746ED"/>
    <w:rsid w:val="007766A6"/>
    <w:rsid w:val="007779DA"/>
    <w:rsid w:val="0078149E"/>
    <w:rsid w:val="00781AB7"/>
    <w:rsid w:val="007822B0"/>
    <w:rsid w:val="00783C8E"/>
    <w:rsid w:val="00784D8C"/>
    <w:rsid w:val="007878A8"/>
    <w:rsid w:val="0079049A"/>
    <w:rsid w:val="007909D2"/>
    <w:rsid w:val="00790CFB"/>
    <w:rsid w:val="0079296F"/>
    <w:rsid w:val="0079331E"/>
    <w:rsid w:val="00793F58"/>
    <w:rsid w:val="00795F93"/>
    <w:rsid w:val="00796688"/>
    <w:rsid w:val="00797AE1"/>
    <w:rsid w:val="007A06C7"/>
    <w:rsid w:val="007A07D2"/>
    <w:rsid w:val="007A12CA"/>
    <w:rsid w:val="007A1CB4"/>
    <w:rsid w:val="007A2306"/>
    <w:rsid w:val="007A4264"/>
    <w:rsid w:val="007A52EE"/>
    <w:rsid w:val="007B1192"/>
    <w:rsid w:val="007B1D80"/>
    <w:rsid w:val="007B3E18"/>
    <w:rsid w:val="007B46DF"/>
    <w:rsid w:val="007B48F6"/>
    <w:rsid w:val="007B75C5"/>
    <w:rsid w:val="007B78A8"/>
    <w:rsid w:val="007C20B4"/>
    <w:rsid w:val="007C26A8"/>
    <w:rsid w:val="007C6847"/>
    <w:rsid w:val="007D1FA5"/>
    <w:rsid w:val="007E082D"/>
    <w:rsid w:val="007E0AB5"/>
    <w:rsid w:val="007E26B3"/>
    <w:rsid w:val="007E2AA7"/>
    <w:rsid w:val="007E323B"/>
    <w:rsid w:val="007E32D3"/>
    <w:rsid w:val="007E4BC8"/>
    <w:rsid w:val="007E529A"/>
    <w:rsid w:val="007E63AF"/>
    <w:rsid w:val="007E6D48"/>
    <w:rsid w:val="007F0A4A"/>
    <w:rsid w:val="007F0B7F"/>
    <w:rsid w:val="007F1F51"/>
    <w:rsid w:val="007F3F38"/>
    <w:rsid w:val="007F405D"/>
    <w:rsid w:val="007F43E2"/>
    <w:rsid w:val="007F4D06"/>
    <w:rsid w:val="00801357"/>
    <w:rsid w:val="00801D90"/>
    <w:rsid w:val="00802590"/>
    <w:rsid w:val="00803169"/>
    <w:rsid w:val="00803601"/>
    <w:rsid w:val="00803B50"/>
    <w:rsid w:val="00804C42"/>
    <w:rsid w:val="00805895"/>
    <w:rsid w:val="00805AED"/>
    <w:rsid w:val="008073DE"/>
    <w:rsid w:val="00810943"/>
    <w:rsid w:val="00820FDB"/>
    <w:rsid w:val="0082135F"/>
    <w:rsid w:val="00822390"/>
    <w:rsid w:val="008238A0"/>
    <w:rsid w:val="00824515"/>
    <w:rsid w:val="00824EE4"/>
    <w:rsid w:val="00824FCF"/>
    <w:rsid w:val="008254EB"/>
    <w:rsid w:val="00825929"/>
    <w:rsid w:val="0082667F"/>
    <w:rsid w:val="00826E87"/>
    <w:rsid w:val="00827ADB"/>
    <w:rsid w:val="00827DF1"/>
    <w:rsid w:val="0083021D"/>
    <w:rsid w:val="00832ADF"/>
    <w:rsid w:val="008346C3"/>
    <w:rsid w:val="00834AB3"/>
    <w:rsid w:val="0083641B"/>
    <w:rsid w:val="00837FBC"/>
    <w:rsid w:val="00841A51"/>
    <w:rsid w:val="008421E4"/>
    <w:rsid w:val="008428FF"/>
    <w:rsid w:val="008431C7"/>
    <w:rsid w:val="00843A3B"/>
    <w:rsid w:val="0084565C"/>
    <w:rsid w:val="00845E31"/>
    <w:rsid w:val="00846499"/>
    <w:rsid w:val="00850F97"/>
    <w:rsid w:val="008512CE"/>
    <w:rsid w:val="0085203D"/>
    <w:rsid w:val="00852326"/>
    <w:rsid w:val="00852597"/>
    <w:rsid w:val="0085707F"/>
    <w:rsid w:val="00860339"/>
    <w:rsid w:val="00860BE4"/>
    <w:rsid w:val="00862A09"/>
    <w:rsid w:val="00864ED2"/>
    <w:rsid w:val="0086521F"/>
    <w:rsid w:val="0086679C"/>
    <w:rsid w:val="00870F3E"/>
    <w:rsid w:val="00875070"/>
    <w:rsid w:val="0087586C"/>
    <w:rsid w:val="00875FF0"/>
    <w:rsid w:val="0087719D"/>
    <w:rsid w:val="00877E56"/>
    <w:rsid w:val="008803DE"/>
    <w:rsid w:val="00881187"/>
    <w:rsid w:val="0088207A"/>
    <w:rsid w:val="00882FBF"/>
    <w:rsid w:val="00884039"/>
    <w:rsid w:val="00884B3C"/>
    <w:rsid w:val="00884E84"/>
    <w:rsid w:val="0088672E"/>
    <w:rsid w:val="00887DC2"/>
    <w:rsid w:val="008901E6"/>
    <w:rsid w:val="008903CE"/>
    <w:rsid w:val="00891AEF"/>
    <w:rsid w:val="00891C37"/>
    <w:rsid w:val="00895881"/>
    <w:rsid w:val="00895F7A"/>
    <w:rsid w:val="008964F7"/>
    <w:rsid w:val="00897127"/>
    <w:rsid w:val="008A0926"/>
    <w:rsid w:val="008A1E7F"/>
    <w:rsid w:val="008A3C0B"/>
    <w:rsid w:val="008A3E9B"/>
    <w:rsid w:val="008A42B7"/>
    <w:rsid w:val="008A5906"/>
    <w:rsid w:val="008A6598"/>
    <w:rsid w:val="008A6696"/>
    <w:rsid w:val="008A6D9F"/>
    <w:rsid w:val="008B163A"/>
    <w:rsid w:val="008B2472"/>
    <w:rsid w:val="008B3E51"/>
    <w:rsid w:val="008B47B7"/>
    <w:rsid w:val="008B4F34"/>
    <w:rsid w:val="008B5D73"/>
    <w:rsid w:val="008B7961"/>
    <w:rsid w:val="008C02F2"/>
    <w:rsid w:val="008C05BF"/>
    <w:rsid w:val="008C437D"/>
    <w:rsid w:val="008C4AB3"/>
    <w:rsid w:val="008C4B76"/>
    <w:rsid w:val="008D1480"/>
    <w:rsid w:val="008D481C"/>
    <w:rsid w:val="008D581A"/>
    <w:rsid w:val="008D6D47"/>
    <w:rsid w:val="008E04B1"/>
    <w:rsid w:val="008E0FA9"/>
    <w:rsid w:val="008E1A03"/>
    <w:rsid w:val="008E560A"/>
    <w:rsid w:val="008E6EC1"/>
    <w:rsid w:val="008E72B5"/>
    <w:rsid w:val="008F00E7"/>
    <w:rsid w:val="008F0A2D"/>
    <w:rsid w:val="008F1AFC"/>
    <w:rsid w:val="008F4853"/>
    <w:rsid w:val="008F67B7"/>
    <w:rsid w:val="008F6D12"/>
    <w:rsid w:val="008F6DEF"/>
    <w:rsid w:val="008F7A1B"/>
    <w:rsid w:val="009000E6"/>
    <w:rsid w:val="009035D7"/>
    <w:rsid w:val="00904DCE"/>
    <w:rsid w:val="00905611"/>
    <w:rsid w:val="009066D8"/>
    <w:rsid w:val="009077D8"/>
    <w:rsid w:val="009110A4"/>
    <w:rsid w:val="00912241"/>
    <w:rsid w:val="00915BDF"/>
    <w:rsid w:val="009167FA"/>
    <w:rsid w:val="009170D5"/>
    <w:rsid w:val="0092064C"/>
    <w:rsid w:val="00922DAC"/>
    <w:rsid w:val="009246A9"/>
    <w:rsid w:val="00924775"/>
    <w:rsid w:val="009275D0"/>
    <w:rsid w:val="009314A8"/>
    <w:rsid w:val="0093191D"/>
    <w:rsid w:val="0093317C"/>
    <w:rsid w:val="00933448"/>
    <w:rsid w:val="00933708"/>
    <w:rsid w:val="009342A0"/>
    <w:rsid w:val="00934C93"/>
    <w:rsid w:val="00935B19"/>
    <w:rsid w:val="0093696A"/>
    <w:rsid w:val="00937F20"/>
    <w:rsid w:val="00940E10"/>
    <w:rsid w:val="00941066"/>
    <w:rsid w:val="00941DD4"/>
    <w:rsid w:val="00942737"/>
    <w:rsid w:val="00943238"/>
    <w:rsid w:val="00943428"/>
    <w:rsid w:val="00943727"/>
    <w:rsid w:val="00943B8D"/>
    <w:rsid w:val="00944446"/>
    <w:rsid w:val="00944983"/>
    <w:rsid w:val="00951A56"/>
    <w:rsid w:val="009534DF"/>
    <w:rsid w:val="00954E73"/>
    <w:rsid w:val="0095733F"/>
    <w:rsid w:val="00957AB3"/>
    <w:rsid w:val="00961523"/>
    <w:rsid w:val="00961F70"/>
    <w:rsid w:val="00962B08"/>
    <w:rsid w:val="009659D3"/>
    <w:rsid w:val="00966070"/>
    <w:rsid w:val="00966273"/>
    <w:rsid w:val="00966276"/>
    <w:rsid w:val="0096661C"/>
    <w:rsid w:val="00966D2A"/>
    <w:rsid w:val="00967ABD"/>
    <w:rsid w:val="009710BA"/>
    <w:rsid w:val="0097145D"/>
    <w:rsid w:val="009716B8"/>
    <w:rsid w:val="009727FF"/>
    <w:rsid w:val="00973491"/>
    <w:rsid w:val="00973B93"/>
    <w:rsid w:val="00975000"/>
    <w:rsid w:val="009750F2"/>
    <w:rsid w:val="009765A5"/>
    <w:rsid w:val="009765AC"/>
    <w:rsid w:val="00976706"/>
    <w:rsid w:val="00980432"/>
    <w:rsid w:val="009805D6"/>
    <w:rsid w:val="00980F89"/>
    <w:rsid w:val="00982C25"/>
    <w:rsid w:val="00983033"/>
    <w:rsid w:val="00985297"/>
    <w:rsid w:val="00985EBD"/>
    <w:rsid w:val="00986A47"/>
    <w:rsid w:val="00987695"/>
    <w:rsid w:val="009878D2"/>
    <w:rsid w:val="00987EDB"/>
    <w:rsid w:val="009902FB"/>
    <w:rsid w:val="009906F2"/>
    <w:rsid w:val="00991235"/>
    <w:rsid w:val="009923AC"/>
    <w:rsid w:val="00993C7F"/>
    <w:rsid w:val="00994FE3"/>
    <w:rsid w:val="00997475"/>
    <w:rsid w:val="009978F1"/>
    <w:rsid w:val="009A0002"/>
    <w:rsid w:val="009A014E"/>
    <w:rsid w:val="009A031E"/>
    <w:rsid w:val="009A1566"/>
    <w:rsid w:val="009A1BCC"/>
    <w:rsid w:val="009A2180"/>
    <w:rsid w:val="009A2DBD"/>
    <w:rsid w:val="009A3287"/>
    <w:rsid w:val="009A4A10"/>
    <w:rsid w:val="009B36F5"/>
    <w:rsid w:val="009B3A59"/>
    <w:rsid w:val="009B3BD1"/>
    <w:rsid w:val="009B4573"/>
    <w:rsid w:val="009B573C"/>
    <w:rsid w:val="009B67B0"/>
    <w:rsid w:val="009C1258"/>
    <w:rsid w:val="009C5480"/>
    <w:rsid w:val="009C6A30"/>
    <w:rsid w:val="009C711F"/>
    <w:rsid w:val="009D066F"/>
    <w:rsid w:val="009D0CED"/>
    <w:rsid w:val="009D1612"/>
    <w:rsid w:val="009D61F4"/>
    <w:rsid w:val="009D66E9"/>
    <w:rsid w:val="009D67E5"/>
    <w:rsid w:val="009D6C10"/>
    <w:rsid w:val="009E10DB"/>
    <w:rsid w:val="009E3EA3"/>
    <w:rsid w:val="009E41AC"/>
    <w:rsid w:val="009E4E40"/>
    <w:rsid w:val="009E63A8"/>
    <w:rsid w:val="009E737D"/>
    <w:rsid w:val="009F247B"/>
    <w:rsid w:val="009F2BA3"/>
    <w:rsid w:val="009F4EF2"/>
    <w:rsid w:val="009F679C"/>
    <w:rsid w:val="009F6F4F"/>
    <w:rsid w:val="009F7335"/>
    <w:rsid w:val="00A03E7A"/>
    <w:rsid w:val="00A049F3"/>
    <w:rsid w:val="00A063CE"/>
    <w:rsid w:val="00A0754D"/>
    <w:rsid w:val="00A1045E"/>
    <w:rsid w:val="00A11DA9"/>
    <w:rsid w:val="00A125D9"/>
    <w:rsid w:val="00A1388E"/>
    <w:rsid w:val="00A1787D"/>
    <w:rsid w:val="00A205CB"/>
    <w:rsid w:val="00A20F4D"/>
    <w:rsid w:val="00A235BD"/>
    <w:rsid w:val="00A2599A"/>
    <w:rsid w:val="00A25BB2"/>
    <w:rsid w:val="00A26566"/>
    <w:rsid w:val="00A26FAD"/>
    <w:rsid w:val="00A30CD7"/>
    <w:rsid w:val="00A35538"/>
    <w:rsid w:val="00A35CB4"/>
    <w:rsid w:val="00A3689D"/>
    <w:rsid w:val="00A37E6B"/>
    <w:rsid w:val="00A37E6F"/>
    <w:rsid w:val="00A41BFD"/>
    <w:rsid w:val="00A41C4C"/>
    <w:rsid w:val="00A421C3"/>
    <w:rsid w:val="00A457AC"/>
    <w:rsid w:val="00A46233"/>
    <w:rsid w:val="00A5151F"/>
    <w:rsid w:val="00A516B1"/>
    <w:rsid w:val="00A51BEA"/>
    <w:rsid w:val="00A53560"/>
    <w:rsid w:val="00A54BFD"/>
    <w:rsid w:val="00A54D1B"/>
    <w:rsid w:val="00A55B29"/>
    <w:rsid w:val="00A5610D"/>
    <w:rsid w:val="00A56610"/>
    <w:rsid w:val="00A5781F"/>
    <w:rsid w:val="00A60F9F"/>
    <w:rsid w:val="00A62266"/>
    <w:rsid w:val="00A62F3A"/>
    <w:rsid w:val="00A656C6"/>
    <w:rsid w:val="00A673BC"/>
    <w:rsid w:val="00A72531"/>
    <w:rsid w:val="00A72EE5"/>
    <w:rsid w:val="00A73352"/>
    <w:rsid w:val="00A75F49"/>
    <w:rsid w:val="00A806A9"/>
    <w:rsid w:val="00A80D3B"/>
    <w:rsid w:val="00A81AAA"/>
    <w:rsid w:val="00A825CA"/>
    <w:rsid w:val="00A848E6"/>
    <w:rsid w:val="00A86361"/>
    <w:rsid w:val="00A90ECD"/>
    <w:rsid w:val="00A91E9E"/>
    <w:rsid w:val="00A9305E"/>
    <w:rsid w:val="00A94F32"/>
    <w:rsid w:val="00A95462"/>
    <w:rsid w:val="00A95873"/>
    <w:rsid w:val="00A97658"/>
    <w:rsid w:val="00A9768C"/>
    <w:rsid w:val="00AA3838"/>
    <w:rsid w:val="00AA6369"/>
    <w:rsid w:val="00AB0CD7"/>
    <w:rsid w:val="00AB1BF8"/>
    <w:rsid w:val="00AB3539"/>
    <w:rsid w:val="00AB444A"/>
    <w:rsid w:val="00AB647C"/>
    <w:rsid w:val="00AB67F6"/>
    <w:rsid w:val="00AB7944"/>
    <w:rsid w:val="00AC08B7"/>
    <w:rsid w:val="00AC0EAD"/>
    <w:rsid w:val="00AC1D54"/>
    <w:rsid w:val="00AC2DDE"/>
    <w:rsid w:val="00AC3610"/>
    <w:rsid w:val="00AC3A85"/>
    <w:rsid w:val="00AC589D"/>
    <w:rsid w:val="00AC6A44"/>
    <w:rsid w:val="00AC71D6"/>
    <w:rsid w:val="00AC7ABA"/>
    <w:rsid w:val="00AD1FE8"/>
    <w:rsid w:val="00AD493A"/>
    <w:rsid w:val="00AD4BAE"/>
    <w:rsid w:val="00AD588E"/>
    <w:rsid w:val="00AE0719"/>
    <w:rsid w:val="00AE07BA"/>
    <w:rsid w:val="00AE1C8D"/>
    <w:rsid w:val="00AE1F83"/>
    <w:rsid w:val="00AE23E3"/>
    <w:rsid w:val="00AE2B01"/>
    <w:rsid w:val="00AE31D0"/>
    <w:rsid w:val="00AE599B"/>
    <w:rsid w:val="00AE5F93"/>
    <w:rsid w:val="00AE6A4A"/>
    <w:rsid w:val="00AE716E"/>
    <w:rsid w:val="00AF1022"/>
    <w:rsid w:val="00AF111C"/>
    <w:rsid w:val="00AF33CB"/>
    <w:rsid w:val="00AF4F8F"/>
    <w:rsid w:val="00B000CF"/>
    <w:rsid w:val="00B02EB7"/>
    <w:rsid w:val="00B03192"/>
    <w:rsid w:val="00B035AE"/>
    <w:rsid w:val="00B03B92"/>
    <w:rsid w:val="00B03C06"/>
    <w:rsid w:val="00B06128"/>
    <w:rsid w:val="00B07F70"/>
    <w:rsid w:val="00B12B4B"/>
    <w:rsid w:val="00B13276"/>
    <w:rsid w:val="00B13AB3"/>
    <w:rsid w:val="00B14DA1"/>
    <w:rsid w:val="00B14DB7"/>
    <w:rsid w:val="00B172A4"/>
    <w:rsid w:val="00B228D9"/>
    <w:rsid w:val="00B24722"/>
    <w:rsid w:val="00B25782"/>
    <w:rsid w:val="00B25B4C"/>
    <w:rsid w:val="00B2675D"/>
    <w:rsid w:val="00B26E11"/>
    <w:rsid w:val="00B3028A"/>
    <w:rsid w:val="00B30E6F"/>
    <w:rsid w:val="00B30FF0"/>
    <w:rsid w:val="00B31805"/>
    <w:rsid w:val="00B31A8A"/>
    <w:rsid w:val="00B329EB"/>
    <w:rsid w:val="00B32C71"/>
    <w:rsid w:val="00B32FF5"/>
    <w:rsid w:val="00B334EB"/>
    <w:rsid w:val="00B35FED"/>
    <w:rsid w:val="00B40404"/>
    <w:rsid w:val="00B405FC"/>
    <w:rsid w:val="00B40B00"/>
    <w:rsid w:val="00B41492"/>
    <w:rsid w:val="00B417EB"/>
    <w:rsid w:val="00B41F80"/>
    <w:rsid w:val="00B4227E"/>
    <w:rsid w:val="00B426F8"/>
    <w:rsid w:val="00B438C2"/>
    <w:rsid w:val="00B438E0"/>
    <w:rsid w:val="00B43C55"/>
    <w:rsid w:val="00B44C24"/>
    <w:rsid w:val="00B44D6D"/>
    <w:rsid w:val="00B4586E"/>
    <w:rsid w:val="00B45951"/>
    <w:rsid w:val="00B46296"/>
    <w:rsid w:val="00B46CF3"/>
    <w:rsid w:val="00B51710"/>
    <w:rsid w:val="00B52635"/>
    <w:rsid w:val="00B533FB"/>
    <w:rsid w:val="00B539AB"/>
    <w:rsid w:val="00B605FA"/>
    <w:rsid w:val="00B61514"/>
    <w:rsid w:val="00B61E35"/>
    <w:rsid w:val="00B61F7D"/>
    <w:rsid w:val="00B6458C"/>
    <w:rsid w:val="00B64B2F"/>
    <w:rsid w:val="00B65448"/>
    <w:rsid w:val="00B6589A"/>
    <w:rsid w:val="00B658C3"/>
    <w:rsid w:val="00B6698D"/>
    <w:rsid w:val="00B66EDC"/>
    <w:rsid w:val="00B70519"/>
    <w:rsid w:val="00B707DB"/>
    <w:rsid w:val="00B735AF"/>
    <w:rsid w:val="00B74803"/>
    <w:rsid w:val="00B753B8"/>
    <w:rsid w:val="00B761E8"/>
    <w:rsid w:val="00B77FF1"/>
    <w:rsid w:val="00B80719"/>
    <w:rsid w:val="00B81D47"/>
    <w:rsid w:val="00B82B9D"/>
    <w:rsid w:val="00B8360E"/>
    <w:rsid w:val="00B8442B"/>
    <w:rsid w:val="00B86BE0"/>
    <w:rsid w:val="00B86BFC"/>
    <w:rsid w:val="00B87BB3"/>
    <w:rsid w:val="00B920AC"/>
    <w:rsid w:val="00B92838"/>
    <w:rsid w:val="00B976D1"/>
    <w:rsid w:val="00B97E39"/>
    <w:rsid w:val="00B97F0C"/>
    <w:rsid w:val="00BA2619"/>
    <w:rsid w:val="00BA2911"/>
    <w:rsid w:val="00BA295C"/>
    <w:rsid w:val="00BA5BDD"/>
    <w:rsid w:val="00BA649B"/>
    <w:rsid w:val="00BB1956"/>
    <w:rsid w:val="00BB293D"/>
    <w:rsid w:val="00BB4759"/>
    <w:rsid w:val="00BB4ACD"/>
    <w:rsid w:val="00BB556F"/>
    <w:rsid w:val="00BB5FFA"/>
    <w:rsid w:val="00BB67D0"/>
    <w:rsid w:val="00BC1927"/>
    <w:rsid w:val="00BC2090"/>
    <w:rsid w:val="00BC2C70"/>
    <w:rsid w:val="00BC2D90"/>
    <w:rsid w:val="00BC36A4"/>
    <w:rsid w:val="00BC3886"/>
    <w:rsid w:val="00BC4C5C"/>
    <w:rsid w:val="00BC4FB2"/>
    <w:rsid w:val="00BC77DA"/>
    <w:rsid w:val="00BD0765"/>
    <w:rsid w:val="00BD12E8"/>
    <w:rsid w:val="00BD2762"/>
    <w:rsid w:val="00BD4AF5"/>
    <w:rsid w:val="00BD5FB2"/>
    <w:rsid w:val="00BD61F1"/>
    <w:rsid w:val="00BD6CD3"/>
    <w:rsid w:val="00BD6EA4"/>
    <w:rsid w:val="00BE080F"/>
    <w:rsid w:val="00BE29DE"/>
    <w:rsid w:val="00BE3337"/>
    <w:rsid w:val="00BE3DDF"/>
    <w:rsid w:val="00BE410C"/>
    <w:rsid w:val="00BE4111"/>
    <w:rsid w:val="00BE7BD3"/>
    <w:rsid w:val="00BF121D"/>
    <w:rsid w:val="00BF2A08"/>
    <w:rsid w:val="00BF2C9A"/>
    <w:rsid w:val="00BF2E39"/>
    <w:rsid w:val="00BF38AA"/>
    <w:rsid w:val="00BF47E3"/>
    <w:rsid w:val="00BF4EE2"/>
    <w:rsid w:val="00BF664E"/>
    <w:rsid w:val="00BF6680"/>
    <w:rsid w:val="00BF798E"/>
    <w:rsid w:val="00C015F3"/>
    <w:rsid w:val="00C01A2E"/>
    <w:rsid w:val="00C01D35"/>
    <w:rsid w:val="00C02DB7"/>
    <w:rsid w:val="00C0637C"/>
    <w:rsid w:val="00C0650B"/>
    <w:rsid w:val="00C10317"/>
    <w:rsid w:val="00C12660"/>
    <w:rsid w:val="00C15CEC"/>
    <w:rsid w:val="00C17907"/>
    <w:rsid w:val="00C17A3F"/>
    <w:rsid w:val="00C20AE2"/>
    <w:rsid w:val="00C217A4"/>
    <w:rsid w:val="00C21D82"/>
    <w:rsid w:val="00C21E24"/>
    <w:rsid w:val="00C264D2"/>
    <w:rsid w:val="00C30024"/>
    <w:rsid w:val="00C3187F"/>
    <w:rsid w:val="00C31AF8"/>
    <w:rsid w:val="00C31BE5"/>
    <w:rsid w:val="00C3279E"/>
    <w:rsid w:val="00C32B35"/>
    <w:rsid w:val="00C33EBA"/>
    <w:rsid w:val="00C343B3"/>
    <w:rsid w:val="00C355C6"/>
    <w:rsid w:val="00C35835"/>
    <w:rsid w:val="00C35A45"/>
    <w:rsid w:val="00C37205"/>
    <w:rsid w:val="00C403C7"/>
    <w:rsid w:val="00C40C7F"/>
    <w:rsid w:val="00C415C7"/>
    <w:rsid w:val="00C42D15"/>
    <w:rsid w:val="00C42DEC"/>
    <w:rsid w:val="00C43959"/>
    <w:rsid w:val="00C447A7"/>
    <w:rsid w:val="00C449EB"/>
    <w:rsid w:val="00C47EAA"/>
    <w:rsid w:val="00C47F8A"/>
    <w:rsid w:val="00C50B01"/>
    <w:rsid w:val="00C512B6"/>
    <w:rsid w:val="00C515C8"/>
    <w:rsid w:val="00C52CB2"/>
    <w:rsid w:val="00C541BA"/>
    <w:rsid w:val="00C57E92"/>
    <w:rsid w:val="00C605D8"/>
    <w:rsid w:val="00C6168C"/>
    <w:rsid w:val="00C61F9C"/>
    <w:rsid w:val="00C62180"/>
    <w:rsid w:val="00C62D89"/>
    <w:rsid w:val="00C645CD"/>
    <w:rsid w:val="00C6680D"/>
    <w:rsid w:val="00C67DDD"/>
    <w:rsid w:val="00C76D9D"/>
    <w:rsid w:val="00C770E1"/>
    <w:rsid w:val="00C773A9"/>
    <w:rsid w:val="00C77FA4"/>
    <w:rsid w:val="00C86B17"/>
    <w:rsid w:val="00C8703F"/>
    <w:rsid w:val="00C8707F"/>
    <w:rsid w:val="00C901C4"/>
    <w:rsid w:val="00C90878"/>
    <w:rsid w:val="00C918B7"/>
    <w:rsid w:val="00C92D3B"/>
    <w:rsid w:val="00C93F34"/>
    <w:rsid w:val="00C9634E"/>
    <w:rsid w:val="00C9714B"/>
    <w:rsid w:val="00CA10B9"/>
    <w:rsid w:val="00CA17AB"/>
    <w:rsid w:val="00CA1908"/>
    <w:rsid w:val="00CA32E9"/>
    <w:rsid w:val="00CA33C1"/>
    <w:rsid w:val="00CA4005"/>
    <w:rsid w:val="00CA61E0"/>
    <w:rsid w:val="00CA6BCC"/>
    <w:rsid w:val="00CB0391"/>
    <w:rsid w:val="00CB14D8"/>
    <w:rsid w:val="00CB1921"/>
    <w:rsid w:val="00CB32B2"/>
    <w:rsid w:val="00CB3434"/>
    <w:rsid w:val="00CB50E9"/>
    <w:rsid w:val="00CB6792"/>
    <w:rsid w:val="00CC0B04"/>
    <w:rsid w:val="00CC0E71"/>
    <w:rsid w:val="00CC152D"/>
    <w:rsid w:val="00CC297A"/>
    <w:rsid w:val="00CC3641"/>
    <w:rsid w:val="00CC5466"/>
    <w:rsid w:val="00CC5EA1"/>
    <w:rsid w:val="00CC5EE5"/>
    <w:rsid w:val="00CC6E1D"/>
    <w:rsid w:val="00CC7958"/>
    <w:rsid w:val="00CD080B"/>
    <w:rsid w:val="00CD1EF9"/>
    <w:rsid w:val="00CD38F4"/>
    <w:rsid w:val="00CD4875"/>
    <w:rsid w:val="00CD5A5E"/>
    <w:rsid w:val="00CD5FF9"/>
    <w:rsid w:val="00CD6038"/>
    <w:rsid w:val="00CD6BAF"/>
    <w:rsid w:val="00CD7106"/>
    <w:rsid w:val="00CD7384"/>
    <w:rsid w:val="00CE1252"/>
    <w:rsid w:val="00CE2A52"/>
    <w:rsid w:val="00CE2DD4"/>
    <w:rsid w:val="00CE2F79"/>
    <w:rsid w:val="00CE3388"/>
    <w:rsid w:val="00CE3C65"/>
    <w:rsid w:val="00CE3DA5"/>
    <w:rsid w:val="00CE70FF"/>
    <w:rsid w:val="00CE7E57"/>
    <w:rsid w:val="00CF16A7"/>
    <w:rsid w:val="00CF2A75"/>
    <w:rsid w:val="00CF5278"/>
    <w:rsid w:val="00CF65D8"/>
    <w:rsid w:val="00D01EA9"/>
    <w:rsid w:val="00D01F55"/>
    <w:rsid w:val="00D07331"/>
    <w:rsid w:val="00D11866"/>
    <w:rsid w:val="00D1289D"/>
    <w:rsid w:val="00D133CF"/>
    <w:rsid w:val="00D13C87"/>
    <w:rsid w:val="00D140CA"/>
    <w:rsid w:val="00D145F4"/>
    <w:rsid w:val="00D14D98"/>
    <w:rsid w:val="00D1513D"/>
    <w:rsid w:val="00D157EC"/>
    <w:rsid w:val="00D15A53"/>
    <w:rsid w:val="00D165A8"/>
    <w:rsid w:val="00D21079"/>
    <w:rsid w:val="00D212C2"/>
    <w:rsid w:val="00D214C3"/>
    <w:rsid w:val="00D22586"/>
    <w:rsid w:val="00D231C8"/>
    <w:rsid w:val="00D23BBE"/>
    <w:rsid w:val="00D25924"/>
    <w:rsid w:val="00D267B2"/>
    <w:rsid w:val="00D27150"/>
    <w:rsid w:val="00D3059A"/>
    <w:rsid w:val="00D31D4B"/>
    <w:rsid w:val="00D3633E"/>
    <w:rsid w:val="00D37EC3"/>
    <w:rsid w:val="00D40A32"/>
    <w:rsid w:val="00D41F13"/>
    <w:rsid w:val="00D431ED"/>
    <w:rsid w:val="00D4343E"/>
    <w:rsid w:val="00D4500A"/>
    <w:rsid w:val="00D4522F"/>
    <w:rsid w:val="00D4797D"/>
    <w:rsid w:val="00D47F18"/>
    <w:rsid w:val="00D50A7F"/>
    <w:rsid w:val="00D50FA6"/>
    <w:rsid w:val="00D519F6"/>
    <w:rsid w:val="00D522B6"/>
    <w:rsid w:val="00D52F87"/>
    <w:rsid w:val="00D54916"/>
    <w:rsid w:val="00D556D1"/>
    <w:rsid w:val="00D55C74"/>
    <w:rsid w:val="00D568FE"/>
    <w:rsid w:val="00D56EFB"/>
    <w:rsid w:val="00D60C2B"/>
    <w:rsid w:val="00D619C1"/>
    <w:rsid w:val="00D61BDF"/>
    <w:rsid w:val="00D625D6"/>
    <w:rsid w:val="00D640A4"/>
    <w:rsid w:val="00D649D2"/>
    <w:rsid w:val="00D65EF9"/>
    <w:rsid w:val="00D6721E"/>
    <w:rsid w:val="00D67E10"/>
    <w:rsid w:val="00D67E55"/>
    <w:rsid w:val="00D701C0"/>
    <w:rsid w:val="00D705C1"/>
    <w:rsid w:val="00D735BF"/>
    <w:rsid w:val="00D73CE4"/>
    <w:rsid w:val="00D768C7"/>
    <w:rsid w:val="00D7694D"/>
    <w:rsid w:val="00D769AF"/>
    <w:rsid w:val="00D76BB3"/>
    <w:rsid w:val="00D772BA"/>
    <w:rsid w:val="00D77989"/>
    <w:rsid w:val="00D77DD5"/>
    <w:rsid w:val="00D819DD"/>
    <w:rsid w:val="00D81B04"/>
    <w:rsid w:val="00D84B46"/>
    <w:rsid w:val="00D857F2"/>
    <w:rsid w:val="00D859F6"/>
    <w:rsid w:val="00D865E3"/>
    <w:rsid w:val="00D868D7"/>
    <w:rsid w:val="00D91472"/>
    <w:rsid w:val="00D94190"/>
    <w:rsid w:val="00D94904"/>
    <w:rsid w:val="00D95753"/>
    <w:rsid w:val="00D9667A"/>
    <w:rsid w:val="00D9762C"/>
    <w:rsid w:val="00D97BC8"/>
    <w:rsid w:val="00DA03EB"/>
    <w:rsid w:val="00DA205E"/>
    <w:rsid w:val="00DA2B78"/>
    <w:rsid w:val="00DA360C"/>
    <w:rsid w:val="00DA5E40"/>
    <w:rsid w:val="00DA75E8"/>
    <w:rsid w:val="00DA7B2D"/>
    <w:rsid w:val="00DB0641"/>
    <w:rsid w:val="00DB117B"/>
    <w:rsid w:val="00DB13A5"/>
    <w:rsid w:val="00DB176C"/>
    <w:rsid w:val="00DB26E9"/>
    <w:rsid w:val="00DB40E0"/>
    <w:rsid w:val="00DB4954"/>
    <w:rsid w:val="00DB6AED"/>
    <w:rsid w:val="00DB6F89"/>
    <w:rsid w:val="00DB7A55"/>
    <w:rsid w:val="00DB7D00"/>
    <w:rsid w:val="00DC0BE7"/>
    <w:rsid w:val="00DC21A0"/>
    <w:rsid w:val="00DC400E"/>
    <w:rsid w:val="00DC40E6"/>
    <w:rsid w:val="00DC5AC3"/>
    <w:rsid w:val="00DC6220"/>
    <w:rsid w:val="00DC6C14"/>
    <w:rsid w:val="00DC76E8"/>
    <w:rsid w:val="00DC7914"/>
    <w:rsid w:val="00DD1B9A"/>
    <w:rsid w:val="00DD30B5"/>
    <w:rsid w:val="00DD539C"/>
    <w:rsid w:val="00DD5DC9"/>
    <w:rsid w:val="00DD6681"/>
    <w:rsid w:val="00DD73EC"/>
    <w:rsid w:val="00DD745F"/>
    <w:rsid w:val="00DD7534"/>
    <w:rsid w:val="00DE0270"/>
    <w:rsid w:val="00DE1868"/>
    <w:rsid w:val="00DE2E8E"/>
    <w:rsid w:val="00DE31BE"/>
    <w:rsid w:val="00DE4652"/>
    <w:rsid w:val="00DE5429"/>
    <w:rsid w:val="00DE6006"/>
    <w:rsid w:val="00DE6CF6"/>
    <w:rsid w:val="00DF0866"/>
    <w:rsid w:val="00DF4921"/>
    <w:rsid w:val="00DF6DB9"/>
    <w:rsid w:val="00DF6E0A"/>
    <w:rsid w:val="00DF770F"/>
    <w:rsid w:val="00DF77B0"/>
    <w:rsid w:val="00DF7D24"/>
    <w:rsid w:val="00E00542"/>
    <w:rsid w:val="00E0088E"/>
    <w:rsid w:val="00E01BBD"/>
    <w:rsid w:val="00E03B5D"/>
    <w:rsid w:val="00E04CE8"/>
    <w:rsid w:val="00E066B1"/>
    <w:rsid w:val="00E10271"/>
    <w:rsid w:val="00E10DDA"/>
    <w:rsid w:val="00E112A5"/>
    <w:rsid w:val="00E119B3"/>
    <w:rsid w:val="00E12917"/>
    <w:rsid w:val="00E152EA"/>
    <w:rsid w:val="00E1789F"/>
    <w:rsid w:val="00E21C10"/>
    <w:rsid w:val="00E22529"/>
    <w:rsid w:val="00E250A7"/>
    <w:rsid w:val="00E26B96"/>
    <w:rsid w:val="00E32CB7"/>
    <w:rsid w:val="00E33568"/>
    <w:rsid w:val="00E341A1"/>
    <w:rsid w:val="00E40D3C"/>
    <w:rsid w:val="00E413CD"/>
    <w:rsid w:val="00E416FB"/>
    <w:rsid w:val="00E4268F"/>
    <w:rsid w:val="00E437BD"/>
    <w:rsid w:val="00E4499F"/>
    <w:rsid w:val="00E4547F"/>
    <w:rsid w:val="00E457DD"/>
    <w:rsid w:val="00E47518"/>
    <w:rsid w:val="00E507D0"/>
    <w:rsid w:val="00E51423"/>
    <w:rsid w:val="00E51A96"/>
    <w:rsid w:val="00E5437C"/>
    <w:rsid w:val="00E54632"/>
    <w:rsid w:val="00E614B5"/>
    <w:rsid w:val="00E61598"/>
    <w:rsid w:val="00E6214A"/>
    <w:rsid w:val="00E63AE5"/>
    <w:rsid w:val="00E646CA"/>
    <w:rsid w:val="00E66130"/>
    <w:rsid w:val="00E663D0"/>
    <w:rsid w:val="00E67413"/>
    <w:rsid w:val="00E675C9"/>
    <w:rsid w:val="00E67CE8"/>
    <w:rsid w:val="00E71339"/>
    <w:rsid w:val="00E71D6A"/>
    <w:rsid w:val="00E732DD"/>
    <w:rsid w:val="00E75087"/>
    <w:rsid w:val="00E75654"/>
    <w:rsid w:val="00E76284"/>
    <w:rsid w:val="00E7682F"/>
    <w:rsid w:val="00E768EC"/>
    <w:rsid w:val="00E76ECE"/>
    <w:rsid w:val="00E804D4"/>
    <w:rsid w:val="00E826EC"/>
    <w:rsid w:val="00E82F10"/>
    <w:rsid w:val="00E8382A"/>
    <w:rsid w:val="00E8716B"/>
    <w:rsid w:val="00E90891"/>
    <w:rsid w:val="00E932D4"/>
    <w:rsid w:val="00E93C5A"/>
    <w:rsid w:val="00E94B32"/>
    <w:rsid w:val="00E95243"/>
    <w:rsid w:val="00E956B7"/>
    <w:rsid w:val="00E95CCC"/>
    <w:rsid w:val="00EA22AC"/>
    <w:rsid w:val="00EA3EFC"/>
    <w:rsid w:val="00EA437C"/>
    <w:rsid w:val="00EA4DB9"/>
    <w:rsid w:val="00EA5D86"/>
    <w:rsid w:val="00EB15D6"/>
    <w:rsid w:val="00EB3FEF"/>
    <w:rsid w:val="00EB42A4"/>
    <w:rsid w:val="00EB43C7"/>
    <w:rsid w:val="00EB46A1"/>
    <w:rsid w:val="00EB5300"/>
    <w:rsid w:val="00EB69BC"/>
    <w:rsid w:val="00EB6D1D"/>
    <w:rsid w:val="00EB79E8"/>
    <w:rsid w:val="00EC7928"/>
    <w:rsid w:val="00EC7D63"/>
    <w:rsid w:val="00ED2B8D"/>
    <w:rsid w:val="00ED3039"/>
    <w:rsid w:val="00ED3FE8"/>
    <w:rsid w:val="00ED4CFD"/>
    <w:rsid w:val="00EE010B"/>
    <w:rsid w:val="00EE13D1"/>
    <w:rsid w:val="00EE226C"/>
    <w:rsid w:val="00EE25C6"/>
    <w:rsid w:val="00EE2794"/>
    <w:rsid w:val="00EE527A"/>
    <w:rsid w:val="00EF0C4C"/>
    <w:rsid w:val="00EF385E"/>
    <w:rsid w:val="00EF4947"/>
    <w:rsid w:val="00EF518C"/>
    <w:rsid w:val="00EF5BD0"/>
    <w:rsid w:val="00EF67CA"/>
    <w:rsid w:val="00EF7312"/>
    <w:rsid w:val="00EF7E21"/>
    <w:rsid w:val="00F01869"/>
    <w:rsid w:val="00F01FCF"/>
    <w:rsid w:val="00F029C8"/>
    <w:rsid w:val="00F06025"/>
    <w:rsid w:val="00F06034"/>
    <w:rsid w:val="00F07043"/>
    <w:rsid w:val="00F076BB"/>
    <w:rsid w:val="00F07FA2"/>
    <w:rsid w:val="00F10EDB"/>
    <w:rsid w:val="00F1418B"/>
    <w:rsid w:val="00F16AF3"/>
    <w:rsid w:val="00F16E70"/>
    <w:rsid w:val="00F17DEF"/>
    <w:rsid w:val="00F201D0"/>
    <w:rsid w:val="00F20DBD"/>
    <w:rsid w:val="00F214B8"/>
    <w:rsid w:val="00F2162F"/>
    <w:rsid w:val="00F2259B"/>
    <w:rsid w:val="00F25071"/>
    <w:rsid w:val="00F25751"/>
    <w:rsid w:val="00F25D1F"/>
    <w:rsid w:val="00F26B5E"/>
    <w:rsid w:val="00F276C9"/>
    <w:rsid w:val="00F27F2A"/>
    <w:rsid w:val="00F308EE"/>
    <w:rsid w:val="00F3139F"/>
    <w:rsid w:val="00F31D2F"/>
    <w:rsid w:val="00F32D00"/>
    <w:rsid w:val="00F32D62"/>
    <w:rsid w:val="00F32F15"/>
    <w:rsid w:val="00F33DFE"/>
    <w:rsid w:val="00F35967"/>
    <w:rsid w:val="00F359C2"/>
    <w:rsid w:val="00F36567"/>
    <w:rsid w:val="00F36A1E"/>
    <w:rsid w:val="00F3795C"/>
    <w:rsid w:val="00F41F85"/>
    <w:rsid w:val="00F42D24"/>
    <w:rsid w:val="00F43A7E"/>
    <w:rsid w:val="00F452ED"/>
    <w:rsid w:val="00F46071"/>
    <w:rsid w:val="00F469FB"/>
    <w:rsid w:val="00F46BF8"/>
    <w:rsid w:val="00F50A2D"/>
    <w:rsid w:val="00F5146F"/>
    <w:rsid w:val="00F5463C"/>
    <w:rsid w:val="00F54BEA"/>
    <w:rsid w:val="00F5513B"/>
    <w:rsid w:val="00F55420"/>
    <w:rsid w:val="00F60AA8"/>
    <w:rsid w:val="00F61B0D"/>
    <w:rsid w:val="00F6272A"/>
    <w:rsid w:val="00F62A11"/>
    <w:rsid w:val="00F632FB"/>
    <w:rsid w:val="00F63DFB"/>
    <w:rsid w:val="00F6582B"/>
    <w:rsid w:val="00F65D06"/>
    <w:rsid w:val="00F672AC"/>
    <w:rsid w:val="00F67CCB"/>
    <w:rsid w:val="00F721F8"/>
    <w:rsid w:val="00F73A44"/>
    <w:rsid w:val="00F73BCA"/>
    <w:rsid w:val="00F7592F"/>
    <w:rsid w:val="00F75C08"/>
    <w:rsid w:val="00F81C0E"/>
    <w:rsid w:val="00F81F7D"/>
    <w:rsid w:val="00F8263A"/>
    <w:rsid w:val="00F82BBE"/>
    <w:rsid w:val="00F852D4"/>
    <w:rsid w:val="00F854C9"/>
    <w:rsid w:val="00F859F0"/>
    <w:rsid w:val="00F86521"/>
    <w:rsid w:val="00F8709D"/>
    <w:rsid w:val="00F870F9"/>
    <w:rsid w:val="00F90348"/>
    <w:rsid w:val="00F9106C"/>
    <w:rsid w:val="00F91AB1"/>
    <w:rsid w:val="00F921C1"/>
    <w:rsid w:val="00F92877"/>
    <w:rsid w:val="00F92B18"/>
    <w:rsid w:val="00F93877"/>
    <w:rsid w:val="00F93AF4"/>
    <w:rsid w:val="00F93F17"/>
    <w:rsid w:val="00F95BA6"/>
    <w:rsid w:val="00F97C4E"/>
    <w:rsid w:val="00FA0389"/>
    <w:rsid w:val="00FA33F3"/>
    <w:rsid w:val="00FA35F0"/>
    <w:rsid w:val="00FA3974"/>
    <w:rsid w:val="00FA4174"/>
    <w:rsid w:val="00FA49A4"/>
    <w:rsid w:val="00FA62D1"/>
    <w:rsid w:val="00FA66C5"/>
    <w:rsid w:val="00FA6921"/>
    <w:rsid w:val="00FA7199"/>
    <w:rsid w:val="00FA7699"/>
    <w:rsid w:val="00FA7A9F"/>
    <w:rsid w:val="00FB3AA8"/>
    <w:rsid w:val="00FB65F8"/>
    <w:rsid w:val="00FB687F"/>
    <w:rsid w:val="00FC0021"/>
    <w:rsid w:val="00FC1708"/>
    <w:rsid w:val="00FC18F7"/>
    <w:rsid w:val="00FC29D6"/>
    <w:rsid w:val="00FC3968"/>
    <w:rsid w:val="00FC3E11"/>
    <w:rsid w:val="00FC62DD"/>
    <w:rsid w:val="00FC70D8"/>
    <w:rsid w:val="00FC71B2"/>
    <w:rsid w:val="00FC799C"/>
    <w:rsid w:val="00FD1FE0"/>
    <w:rsid w:val="00FD48E2"/>
    <w:rsid w:val="00FD6971"/>
    <w:rsid w:val="00FE01FB"/>
    <w:rsid w:val="00FE0899"/>
    <w:rsid w:val="00FE185F"/>
    <w:rsid w:val="00FE2CDD"/>
    <w:rsid w:val="00FE2F34"/>
    <w:rsid w:val="00FE3EA4"/>
    <w:rsid w:val="00FE441C"/>
    <w:rsid w:val="00FE548B"/>
    <w:rsid w:val="00FE561C"/>
    <w:rsid w:val="00FE5640"/>
    <w:rsid w:val="00FE56BF"/>
    <w:rsid w:val="00FE5E7B"/>
    <w:rsid w:val="00FE7D00"/>
    <w:rsid w:val="00FF0936"/>
    <w:rsid w:val="00FF2FB3"/>
    <w:rsid w:val="00FF30FF"/>
    <w:rsid w:val="00FF3999"/>
    <w:rsid w:val="00FF52A9"/>
    <w:rsid w:val="00FF5609"/>
    <w:rsid w:val="00FF5BDE"/>
    <w:rsid w:val="00FF6549"/>
    <w:rsid w:val="00FF6951"/>
    <w:rsid w:val="00FF69B3"/>
    <w:rsid w:val="00FF7C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ln">
    <w:name w:val="Normal"/>
    <w:qFormat/>
    <w:rsid w:val="00F308EE"/>
    <w:pPr>
      <w:spacing w:before="120"/>
      <w:jc w:val="both"/>
    </w:pPr>
    <w:rPr>
      <w:rFonts w:ascii="Garamond" w:hAnsi="Garamond"/>
      <w:sz w:val="24"/>
      <w:lang w:eastAsia="en-US"/>
    </w:rPr>
  </w:style>
  <w:style w:type="paragraph" w:styleId="Nadpis1">
    <w:name w:val="heading 1"/>
    <w:basedOn w:val="Normln"/>
    <w:next w:val="Normln"/>
    <w:link w:val="Nadpis1Char"/>
    <w:autoRedefine/>
    <w:uiPriority w:val="99"/>
    <w:qFormat/>
    <w:rsid w:val="005A37BD"/>
    <w:pPr>
      <w:keepNext/>
      <w:keepLines/>
      <w:pageBreakBefore/>
      <w:numPr>
        <w:numId w:val="3"/>
      </w:numPr>
      <w:pBdr>
        <w:top w:val="dotted" w:sz="4" w:space="1" w:color="auto"/>
        <w:bottom w:val="dotted" w:sz="4" w:space="1" w:color="auto"/>
      </w:pBdr>
      <w:spacing w:before="6000"/>
      <w:ind w:left="357" w:hanging="357"/>
      <w:jc w:val="center"/>
      <w:outlineLvl w:val="0"/>
    </w:pPr>
    <w:rPr>
      <w:rFonts w:eastAsia="Times New Roman"/>
      <w:b/>
      <w:bCs/>
      <w:sz w:val="72"/>
      <w:szCs w:val="28"/>
    </w:rPr>
  </w:style>
  <w:style w:type="paragraph" w:styleId="Nadpis2">
    <w:name w:val="heading 2"/>
    <w:basedOn w:val="Normln"/>
    <w:next w:val="Normln"/>
    <w:link w:val="Nadpis2Char"/>
    <w:autoRedefine/>
    <w:uiPriority w:val="99"/>
    <w:qFormat/>
    <w:rsid w:val="00C67DDD"/>
    <w:pPr>
      <w:keepNext/>
      <w:keepLines/>
      <w:pageBreakBefore/>
      <w:numPr>
        <w:ilvl w:val="1"/>
        <w:numId w:val="3"/>
      </w:numPr>
      <w:pBdr>
        <w:bottom w:val="single" w:sz="4" w:space="1" w:color="auto"/>
      </w:pBdr>
      <w:tabs>
        <w:tab w:val="left" w:pos="1701"/>
      </w:tabs>
      <w:spacing w:before="240" w:after="240"/>
      <w:ind w:left="1283"/>
      <w:jc w:val="left"/>
      <w:outlineLvl w:val="1"/>
    </w:pPr>
    <w:rPr>
      <w:rFonts w:eastAsia="Times New Roman"/>
      <w:b/>
      <w:bCs/>
      <w:sz w:val="40"/>
      <w:szCs w:val="26"/>
      <w:lang w:eastAsia="cs-CZ"/>
    </w:rPr>
  </w:style>
  <w:style w:type="paragraph" w:styleId="Nadpis3">
    <w:name w:val="heading 3"/>
    <w:basedOn w:val="Normln"/>
    <w:next w:val="Normln"/>
    <w:link w:val="Nadpis3Char"/>
    <w:autoRedefine/>
    <w:uiPriority w:val="99"/>
    <w:qFormat/>
    <w:rsid w:val="00314237"/>
    <w:pPr>
      <w:keepNext/>
      <w:keepLines/>
      <w:spacing w:before="240"/>
      <w:jc w:val="left"/>
      <w:outlineLvl w:val="2"/>
    </w:pPr>
    <w:rPr>
      <w:rFonts w:eastAsia="Times New Roman"/>
      <w:b/>
      <w:bCs/>
      <w:sz w:val="28"/>
      <w:szCs w:val="28"/>
      <w:lang w:eastAsia="cs-CZ"/>
    </w:rPr>
  </w:style>
  <w:style w:type="paragraph" w:styleId="Nadpis4">
    <w:name w:val="heading 4"/>
    <w:basedOn w:val="Normln"/>
    <w:next w:val="Normln"/>
    <w:link w:val="Nadpis4Char"/>
    <w:uiPriority w:val="99"/>
    <w:qFormat/>
    <w:rsid w:val="00D701C0"/>
    <w:pPr>
      <w:keepNext/>
      <w:keepLines/>
      <w:spacing w:before="200"/>
      <w:ind w:left="426" w:hanging="426"/>
      <w:outlineLvl w:val="3"/>
    </w:pPr>
    <w:rPr>
      <w:b/>
    </w:rPr>
  </w:style>
  <w:style w:type="paragraph" w:styleId="Nadpis5">
    <w:name w:val="heading 5"/>
    <w:basedOn w:val="Normln"/>
    <w:next w:val="Normln"/>
    <w:link w:val="Nadpis5Char"/>
    <w:uiPriority w:val="99"/>
    <w:qFormat/>
    <w:rsid w:val="00FB65F8"/>
    <w:pPr>
      <w:keepNext/>
      <w:keepLines/>
      <w:spacing w:before="200"/>
      <w:outlineLvl w:val="4"/>
    </w:pPr>
    <w:rPr>
      <w:rFonts w:eastAsia="Times New Roman"/>
      <w:i/>
      <w:color w:val="243F60"/>
    </w:rPr>
  </w:style>
  <w:style w:type="paragraph" w:styleId="Nadpis6">
    <w:name w:val="heading 6"/>
    <w:basedOn w:val="Normln"/>
    <w:next w:val="Normln"/>
    <w:link w:val="Nadpis6Char"/>
    <w:uiPriority w:val="99"/>
    <w:qFormat/>
    <w:rsid w:val="00087CC9"/>
    <w:pPr>
      <w:keepNext/>
      <w:keepLines/>
      <w:spacing w:before="200"/>
      <w:outlineLvl w:val="5"/>
    </w:pPr>
    <w:rPr>
      <w:rFonts w:ascii="Cambria" w:hAnsi="Cambria"/>
      <w:i/>
      <w:iCs/>
      <w:color w:val="243F60"/>
      <w:szCs w:val="20"/>
    </w:rPr>
  </w:style>
  <w:style w:type="paragraph" w:styleId="Nadpis7">
    <w:name w:val="heading 7"/>
    <w:basedOn w:val="Normln"/>
    <w:next w:val="Normln"/>
    <w:link w:val="Nadpis7Char"/>
    <w:uiPriority w:val="99"/>
    <w:qFormat/>
    <w:rsid w:val="00087CC9"/>
    <w:pPr>
      <w:keepNext/>
      <w:keepLines/>
      <w:spacing w:before="200"/>
      <w:outlineLvl w:val="6"/>
    </w:pPr>
    <w:rPr>
      <w:rFonts w:ascii="Cambria" w:hAnsi="Cambria"/>
      <w:i/>
      <w:iCs/>
      <w:color w:val="404040"/>
      <w:szCs w:val="20"/>
    </w:rPr>
  </w:style>
  <w:style w:type="paragraph" w:styleId="Nadpis8">
    <w:name w:val="heading 8"/>
    <w:basedOn w:val="Normln"/>
    <w:next w:val="Normln"/>
    <w:link w:val="Nadpis8Char"/>
    <w:uiPriority w:val="99"/>
    <w:qFormat/>
    <w:rsid w:val="00087CC9"/>
    <w:pPr>
      <w:keepNext/>
      <w:keepLines/>
      <w:spacing w:before="200"/>
      <w:outlineLvl w:val="7"/>
    </w:pPr>
    <w:rPr>
      <w:rFonts w:ascii="Cambria" w:hAnsi="Cambria"/>
      <w:color w:val="404040"/>
      <w:sz w:val="20"/>
      <w:szCs w:val="20"/>
    </w:rPr>
  </w:style>
  <w:style w:type="paragraph" w:styleId="Nadpis9">
    <w:name w:val="heading 9"/>
    <w:basedOn w:val="Normln"/>
    <w:next w:val="Normln"/>
    <w:link w:val="Nadpis9Char"/>
    <w:uiPriority w:val="99"/>
    <w:qFormat/>
    <w:rsid w:val="00087CC9"/>
    <w:pPr>
      <w:keepNext/>
      <w:keepLines/>
      <w:spacing w:before="20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A37BD"/>
    <w:rPr>
      <w:rFonts w:ascii="Garamond" w:hAnsi="Garamond" w:cs="Times New Roman"/>
      <w:b/>
      <w:sz w:val="28"/>
      <w:lang w:eastAsia="en-US"/>
    </w:rPr>
  </w:style>
  <w:style w:type="character" w:customStyle="1" w:styleId="Nadpis2Char">
    <w:name w:val="Nadpis 2 Char"/>
    <w:basedOn w:val="Standardnpsmoodstavce"/>
    <w:link w:val="Nadpis2"/>
    <w:uiPriority w:val="99"/>
    <w:locked/>
    <w:rsid w:val="00C67DDD"/>
    <w:rPr>
      <w:rFonts w:ascii="Garamond" w:hAnsi="Garamond" w:cs="Times New Roman"/>
      <w:b/>
      <w:bCs/>
      <w:sz w:val="26"/>
      <w:szCs w:val="26"/>
    </w:rPr>
  </w:style>
  <w:style w:type="character" w:customStyle="1" w:styleId="Nadpis3Char">
    <w:name w:val="Nadpis 3 Char"/>
    <w:basedOn w:val="Standardnpsmoodstavce"/>
    <w:link w:val="Nadpis3"/>
    <w:uiPriority w:val="99"/>
    <w:locked/>
    <w:rsid w:val="00314237"/>
    <w:rPr>
      <w:rFonts w:ascii="Garamond" w:eastAsia="Times New Roman" w:hAnsi="Garamond"/>
      <w:b/>
      <w:bCs/>
      <w:sz w:val="28"/>
      <w:szCs w:val="28"/>
    </w:rPr>
  </w:style>
  <w:style w:type="character" w:customStyle="1" w:styleId="Nadpis4Char">
    <w:name w:val="Nadpis 4 Char"/>
    <w:basedOn w:val="Standardnpsmoodstavce"/>
    <w:link w:val="Nadpis4"/>
    <w:uiPriority w:val="99"/>
    <w:locked/>
    <w:rsid w:val="00D701C0"/>
    <w:rPr>
      <w:rFonts w:ascii="Garamond" w:hAnsi="Garamond" w:cs="Times New Roman"/>
      <w:b/>
      <w:sz w:val="22"/>
      <w:lang w:eastAsia="en-US"/>
    </w:rPr>
  </w:style>
  <w:style w:type="character" w:customStyle="1" w:styleId="Nadpis5Char">
    <w:name w:val="Nadpis 5 Char"/>
    <w:basedOn w:val="Standardnpsmoodstavce"/>
    <w:link w:val="Nadpis5"/>
    <w:uiPriority w:val="99"/>
    <w:locked/>
    <w:rsid w:val="00FB65F8"/>
    <w:rPr>
      <w:rFonts w:ascii="Garamond" w:hAnsi="Garamond" w:cs="Times New Roman"/>
      <w:i/>
      <w:color w:val="243F60"/>
      <w:sz w:val="22"/>
      <w:lang w:eastAsia="en-US"/>
    </w:rPr>
  </w:style>
  <w:style w:type="character" w:customStyle="1" w:styleId="Nadpis6Char">
    <w:name w:val="Nadpis 6 Char"/>
    <w:basedOn w:val="Standardnpsmoodstavce"/>
    <w:link w:val="Nadpis6"/>
    <w:uiPriority w:val="99"/>
    <w:locked/>
    <w:rsid w:val="00087CC9"/>
    <w:rPr>
      <w:rFonts w:ascii="Cambria" w:hAnsi="Cambria" w:cs="Times New Roman"/>
      <w:i/>
      <w:color w:val="243F60"/>
      <w:sz w:val="24"/>
      <w:lang w:eastAsia="en-US"/>
    </w:rPr>
  </w:style>
  <w:style w:type="character" w:customStyle="1" w:styleId="Nadpis7Char">
    <w:name w:val="Nadpis 7 Char"/>
    <w:basedOn w:val="Standardnpsmoodstavce"/>
    <w:link w:val="Nadpis7"/>
    <w:uiPriority w:val="99"/>
    <w:locked/>
    <w:rsid w:val="00087CC9"/>
    <w:rPr>
      <w:rFonts w:ascii="Cambria" w:hAnsi="Cambria" w:cs="Times New Roman"/>
      <w:i/>
      <w:color w:val="404040"/>
      <w:sz w:val="24"/>
      <w:lang w:eastAsia="en-US"/>
    </w:rPr>
  </w:style>
  <w:style w:type="character" w:customStyle="1" w:styleId="Nadpis8Char">
    <w:name w:val="Nadpis 8 Char"/>
    <w:basedOn w:val="Standardnpsmoodstavce"/>
    <w:link w:val="Nadpis8"/>
    <w:uiPriority w:val="99"/>
    <w:locked/>
    <w:rsid w:val="00087CC9"/>
    <w:rPr>
      <w:rFonts w:ascii="Cambria" w:hAnsi="Cambria" w:cs="Times New Roman"/>
      <w:color w:val="404040"/>
      <w:sz w:val="20"/>
      <w:lang w:eastAsia="en-US"/>
    </w:rPr>
  </w:style>
  <w:style w:type="character" w:customStyle="1" w:styleId="Nadpis9Char">
    <w:name w:val="Nadpis 9 Char"/>
    <w:basedOn w:val="Standardnpsmoodstavce"/>
    <w:link w:val="Nadpis9"/>
    <w:uiPriority w:val="99"/>
    <w:locked/>
    <w:rsid w:val="00087CC9"/>
    <w:rPr>
      <w:rFonts w:ascii="Cambria" w:hAnsi="Cambria" w:cs="Times New Roman"/>
      <w:i/>
      <w:color w:val="404040"/>
      <w:sz w:val="20"/>
      <w:lang w:eastAsia="en-US"/>
    </w:rPr>
  </w:style>
  <w:style w:type="paragraph" w:styleId="Textbubliny">
    <w:name w:val="Balloon Text"/>
    <w:basedOn w:val="Normln"/>
    <w:link w:val="TextbublinyChar"/>
    <w:uiPriority w:val="99"/>
    <w:semiHidden/>
    <w:rsid w:val="000B1628"/>
    <w:rPr>
      <w:rFonts w:ascii="Tahoma" w:hAnsi="Tahoma"/>
      <w:sz w:val="16"/>
      <w:szCs w:val="16"/>
      <w:lang w:eastAsia="cs-CZ"/>
    </w:rPr>
  </w:style>
  <w:style w:type="character" w:customStyle="1" w:styleId="TextbublinyChar">
    <w:name w:val="Text bubliny Char"/>
    <w:basedOn w:val="Standardnpsmoodstavce"/>
    <w:link w:val="Textbubliny"/>
    <w:uiPriority w:val="99"/>
    <w:semiHidden/>
    <w:locked/>
    <w:rsid w:val="000B1628"/>
    <w:rPr>
      <w:rFonts w:ascii="Tahoma" w:hAnsi="Tahoma" w:cs="Times New Roman"/>
      <w:sz w:val="16"/>
    </w:rPr>
  </w:style>
  <w:style w:type="paragraph" w:customStyle="1" w:styleId="Dvodovzprva">
    <w:name w:val="Důvodová zpráva"/>
    <w:basedOn w:val="Normln"/>
    <w:link w:val="DvodovzprvaChar"/>
    <w:uiPriority w:val="99"/>
    <w:rsid w:val="000B1628"/>
    <w:pPr>
      <w:keepNext/>
      <w:outlineLvl w:val="0"/>
    </w:pPr>
    <w:rPr>
      <w:rFonts w:ascii="Arial" w:hAnsi="Arial"/>
      <w:color w:val="0000FF"/>
      <w:sz w:val="20"/>
      <w:szCs w:val="20"/>
      <w:lang w:eastAsia="cs-CZ"/>
    </w:rPr>
  </w:style>
  <w:style w:type="character" w:customStyle="1" w:styleId="DvodovzprvaChar">
    <w:name w:val="Důvodová zpráva Char"/>
    <w:link w:val="Dvodovzprva"/>
    <w:uiPriority w:val="99"/>
    <w:locked/>
    <w:rsid w:val="000B1628"/>
    <w:rPr>
      <w:rFonts w:ascii="Arial" w:hAnsi="Arial"/>
      <w:color w:val="0000FF"/>
      <w:sz w:val="20"/>
      <w:lang w:eastAsia="cs-CZ"/>
    </w:rPr>
  </w:style>
  <w:style w:type="paragraph" w:customStyle="1" w:styleId="DZ4-textDZ">
    <w:name w:val="DZ 4 - text DZ"/>
    <w:basedOn w:val="Normln"/>
    <w:uiPriority w:val="99"/>
    <w:rsid w:val="000B1628"/>
    <w:pPr>
      <w:outlineLvl w:val="0"/>
    </w:pPr>
    <w:rPr>
      <w:rFonts w:ascii="Arial" w:eastAsia="Times New Roman" w:hAnsi="Arial"/>
      <w:color w:val="0000FF"/>
      <w:szCs w:val="20"/>
      <w:lang w:eastAsia="cs-CZ"/>
    </w:rPr>
  </w:style>
  <w:style w:type="paragraph" w:styleId="Odstavecseseznamem">
    <w:name w:val="List Paragraph"/>
    <w:basedOn w:val="Normln"/>
    <w:uiPriority w:val="99"/>
    <w:qFormat/>
    <w:rsid w:val="000B1628"/>
    <w:pPr>
      <w:ind w:left="720"/>
      <w:contextualSpacing/>
    </w:pPr>
  </w:style>
  <w:style w:type="paragraph" w:customStyle="1" w:styleId="Default">
    <w:name w:val="Default"/>
    <w:uiPriority w:val="99"/>
    <w:rsid w:val="000B1628"/>
    <w:pPr>
      <w:autoSpaceDE w:val="0"/>
      <w:autoSpaceDN w:val="0"/>
      <w:adjustRightInd w:val="0"/>
    </w:pPr>
    <w:rPr>
      <w:rFonts w:ascii="Times New Roman" w:hAnsi="Times New Roman"/>
      <w:color w:val="000000"/>
      <w:sz w:val="24"/>
      <w:szCs w:val="24"/>
      <w:lang w:val="sk-SK" w:eastAsia="sk-SK"/>
    </w:rPr>
  </w:style>
  <w:style w:type="paragraph" w:customStyle="1" w:styleId="Odstavecseseznamem1">
    <w:name w:val="Odstavec se seznamem1"/>
    <w:basedOn w:val="Normln"/>
    <w:link w:val="ListParagraphChar"/>
    <w:uiPriority w:val="99"/>
    <w:rsid w:val="000B1628"/>
    <w:pPr>
      <w:spacing w:after="200"/>
      <w:ind w:left="720"/>
      <w:contextualSpacing/>
    </w:pPr>
    <w:rPr>
      <w:rFonts w:ascii="Calibri" w:hAnsi="Calibri"/>
      <w:sz w:val="20"/>
      <w:szCs w:val="20"/>
      <w:lang w:eastAsia="cs-CZ"/>
    </w:rPr>
  </w:style>
  <w:style w:type="character" w:customStyle="1" w:styleId="ListParagraphChar">
    <w:name w:val="List Paragraph Char"/>
    <w:link w:val="Odstavecseseznamem1"/>
    <w:uiPriority w:val="99"/>
    <w:locked/>
    <w:rsid w:val="000B1628"/>
    <w:rPr>
      <w:rFonts w:ascii="Calibri" w:hAnsi="Calibri"/>
      <w:sz w:val="20"/>
      <w:lang w:eastAsia="cs-CZ"/>
    </w:rPr>
  </w:style>
  <w:style w:type="paragraph" w:customStyle="1" w:styleId="apismeno">
    <w:name w:val="a_pismeno"/>
    <w:basedOn w:val="Normln"/>
    <w:link w:val="apismenoChar"/>
    <w:uiPriority w:val="99"/>
    <w:rsid w:val="000B1628"/>
    <w:pPr>
      <w:widowControl w:val="0"/>
      <w:tabs>
        <w:tab w:val="left" w:pos="284"/>
      </w:tabs>
      <w:ind w:left="284" w:hanging="284"/>
      <w:outlineLvl w:val="2"/>
    </w:pPr>
    <w:rPr>
      <w:rFonts w:ascii="Times New Roman" w:hAnsi="Times New Roman"/>
      <w:sz w:val="20"/>
      <w:szCs w:val="20"/>
      <w:lang w:eastAsia="cs-CZ"/>
    </w:rPr>
  </w:style>
  <w:style w:type="character" w:customStyle="1" w:styleId="apismenoChar">
    <w:name w:val="a_pismeno Char"/>
    <w:link w:val="apismeno"/>
    <w:uiPriority w:val="99"/>
    <w:locked/>
    <w:rsid w:val="000B1628"/>
    <w:rPr>
      <w:rFonts w:ascii="Times New Roman" w:hAnsi="Times New Roman"/>
      <w:sz w:val="20"/>
      <w:lang w:eastAsia="cs-CZ"/>
    </w:rPr>
  </w:style>
  <w:style w:type="paragraph" w:styleId="Zpat">
    <w:name w:val="footer"/>
    <w:basedOn w:val="Normln"/>
    <w:link w:val="ZpatChar"/>
    <w:uiPriority w:val="99"/>
    <w:rsid w:val="000B1628"/>
    <w:pPr>
      <w:tabs>
        <w:tab w:val="center" w:pos="4536"/>
        <w:tab w:val="right" w:pos="9072"/>
      </w:tabs>
    </w:pPr>
    <w:rPr>
      <w:rFonts w:ascii="Times New Roman" w:hAnsi="Times New Roman"/>
      <w:sz w:val="20"/>
      <w:szCs w:val="20"/>
      <w:lang w:eastAsia="cs-CZ"/>
    </w:rPr>
  </w:style>
  <w:style w:type="character" w:customStyle="1" w:styleId="ZpatChar">
    <w:name w:val="Zápatí Char"/>
    <w:basedOn w:val="Standardnpsmoodstavce"/>
    <w:link w:val="Zpat"/>
    <w:uiPriority w:val="99"/>
    <w:locked/>
    <w:rsid w:val="000B1628"/>
    <w:rPr>
      <w:rFonts w:ascii="Times New Roman" w:hAnsi="Times New Roman" w:cs="Times New Roman"/>
      <w:sz w:val="20"/>
      <w:lang w:eastAsia="cs-CZ"/>
    </w:rPr>
  </w:style>
  <w:style w:type="paragraph" w:customStyle="1" w:styleId="default0">
    <w:name w:val="default"/>
    <w:basedOn w:val="Normln"/>
    <w:uiPriority w:val="99"/>
    <w:rsid w:val="000B1628"/>
    <w:pPr>
      <w:autoSpaceDE w:val="0"/>
      <w:autoSpaceDN w:val="0"/>
    </w:pPr>
    <w:rPr>
      <w:color w:val="000000"/>
      <w:szCs w:val="24"/>
      <w:lang w:eastAsia="cs-CZ"/>
    </w:rPr>
  </w:style>
  <w:style w:type="paragraph" w:customStyle="1" w:styleId="ZkladntextIMP">
    <w:name w:val="Základní text_IMP"/>
    <w:basedOn w:val="Normln"/>
    <w:uiPriority w:val="99"/>
    <w:rsid w:val="000B1628"/>
    <w:pPr>
      <w:suppressAutoHyphens/>
    </w:pPr>
    <w:rPr>
      <w:rFonts w:ascii="Arial" w:eastAsia="Times New Roman" w:hAnsi="Arial"/>
      <w:sz w:val="28"/>
      <w:szCs w:val="20"/>
      <w:lang w:eastAsia="cs-CZ"/>
    </w:rPr>
  </w:style>
  <w:style w:type="character" w:styleId="Odkaznakoment">
    <w:name w:val="annotation reference"/>
    <w:basedOn w:val="Standardnpsmoodstavce"/>
    <w:uiPriority w:val="99"/>
    <w:semiHidden/>
    <w:rsid w:val="00372C0C"/>
    <w:rPr>
      <w:rFonts w:cs="Times New Roman"/>
      <w:sz w:val="16"/>
    </w:rPr>
  </w:style>
  <w:style w:type="paragraph" w:styleId="Textkomente">
    <w:name w:val="annotation text"/>
    <w:basedOn w:val="Normln"/>
    <w:link w:val="TextkomenteChar"/>
    <w:uiPriority w:val="99"/>
    <w:semiHidden/>
    <w:rsid w:val="00372C0C"/>
    <w:rPr>
      <w:rFonts w:ascii="Times New Roman" w:hAnsi="Times New Roman"/>
      <w:sz w:val="20"/>
      <w:szCs w:val="20"/>
      <w:lang w:eastAsia="cs-CZ"/>
    </w:rPr>
  </w:style>
  <w:style w:type="character" w:customStyle="1" w:styleId="TextkomenteChar">
    <w:name w:val="Text komentáře Char"/>
    <w:basedOn w:val="Standardnpsmoodstavce"/>
    <w:link w:val="Textkomente"/>
    <w:uiPriority w:val="99"/>
    <w:semiHidden/>
    <w:locked/>
    <w:rsid w:val="00372C0C"/>
    <w:rPr>
      <w:rFonts w:ascii="Times New Roman" w:hAnsi="Times New Roman" w:cs="Times New Roman"/>
      <w:sz w:val="20"/>
    </w:rPr>
  </w:style>
  <w:style w:type="paragraph" w:styleId="Pedmtkomente">
    <w:name w:val="annotation subject"/>
    <w:basedOn w:val="Textkomente"/>
    <w:next w:val="Textkomente"/>
    <w:link w:val="PedmtkomenteChar"/>
    <w:uiPriority w:val="99"/>
    <w:semiHidden/>
    <w:rsid w:val="00372C0C"/>
    <w:rPr>
      <w:b/>
      <w:bCs/>
    </w:rPr>
  </w:style>
  <w:style w:type="character" w:customStyle="1" w:styleId="PedmtkomenteChar">
    <w:name w:val="Předmět komentáře Char"/>
    <w:basedOn w:val="TextkomenteChar"/>
    <w:link w:val="Pedmtkomente"/>
    <w:uiPriority w:val="99"/>
    <w:semiHidden/>
    <w:locked/>
    <w:rsid w:val="00372C0C"/>
    <w:rPr>
      <w:rFonts w:ascii="Times New Roman" w:hAnsi="Times New Roman" w:cs="Times New Roman"/>
      <w:b/>
      <w:sz w:val="20"/>
    </w:rPr>
  </w:style>
  <w:style w:type="paragraph" w:styleId="Revize">
    <w:name w:val="Revision"/>
    <w:hidden/>
    <w:uiPriority w:val="99"/>
    <w:semiHidden/>
    <w:rsid w:val="007310D7"/>
    <w:rPr>
      <w:rFonts w:ascii="Times New Roman" w:hAnsi="Times New Roman"/>
      <w:sz w:val="24"/>
      <w:lang w:eastAsia="en-US"/>
    </w:rPr>
  </w:style>
  <w:style w:type="character" w:customStyle="1" w:styleId="TextodstavceChar">
    <w:name w:val="Text odstavce Char"/>
    <w:link w:val="Textodstavce"/>
    <w:uiPriority w:val="99"/>
    <w:locked/>
    <w:rsid w:val="00D9667A"/>
    <w:rPr>
      <w:sz w:val="24"/>
    </w:rPr>
  </w:style>
  <w:style w:type="paragraph" w:customStyle="1" w:styleId="Textodstavce">
    <w:name w:val="Text odstavce"/>
    <w:basedOn w:val="Normln"/>
    <w:link w:val="TextodstavceChar"/>
    <w:uiPriority w:val="99"/>
    <w:rsid w:val="00D9667A"/>
    <w:pPr>
      <w:numPr>
        <w:numId w:val="1"/>
      </w:numPr>
      <w:tabs>
        <w:tab w:val="left" w:pos="851"/>
      </w:tabs>
      <w:spacing w:after="120"/>
      <w:outlineLvl w:val="6"/>
    </w:pPr>
    <w:rPr>
      <w:rFonts w:ascii="Calibri" w:hAnsi="Calibri"/>
      <w:szCs w:val="20"/>
      <w:lang w:eastAsia="cs-CZ"/>
    </w:rPr>
  </w:style>
  <w:style w:type="paragraph" w:customStyle="1" w:styleId="Textbodu">
    <w:name w:val="Text bodu"/>
    <w:basedOn w:val="Normln"/>
    <w:uiPriority w:val="99"/>
    <w:rsid w:val="00D9667A"/>
    <w:pPr>
      <w:numPr>
        <w:ilvl w:val="2"/>
        <w:numId w:val="1"/>
      </w:numPr>
      <w:outlineLvl w:val="8"/>
    </w:pPr>
    <w:rPr>
      <w:rFonts w:eastAsia="Times New Roman"/>
      <w:szCs w:val="20"/>
      <w:lang w:eastAsia="cs-CZ"/>
    </w:rPr>
  </w:style>
  <w:style w:type="paragraph" w:customStyle="1" w:styleId="Textpsmene">
    <w:name w:val="Text písmene"/>
    <w:basedOn w:val="Normln"/>
    <w:uiPriority w:val="99"/>
    <w:rsid w:val="00D9667A"/>
    <w:pPr>
      <w:numPr>
        <w:ilvl w:val="1"/>
        <w:numId w:val="1"/>
      </w:numPr>
      <w:outlineLvl w:val="7"/>
    </w:pPr>
    <w:rPr>
      <w:rFonts w:eastAsia="Times New Roman"/>
      <w:szCs w:val="20"/>
      <w:lang w:eastAsia="cs-CZ"/>
    </w:rPr>
  </w:style>
  <w:style w:type="paragraph" w:customStyle="1" w:styleId="Odrky">
    <w:name w:val="Odrážky"/>
    <w:basedOn w:val="Normln"/>
    <w:next w:val="Normln"/>
    <w:uiPriority w:val="99"/>
    <w:rsid w:val="007E323B"/>
    <w:pPr>
      <w:numPr>
        <w:numId w:val="2"/>
      </w:numPr>
      <w:spacing w:after="120"/>
    </w:pPr>
    <w:rPr>
      <w:rFonts w:eastAsia="Times New Roman"/>
    </w:rPr>
  </w:style>
  <w:style w:type="paragraph" w:styleId="Nzev">
    <w:name w:val="Title"/>
    <w:basedOn w:val="Normln"/>
    <w:next w:val="Normln"/>
    <w:link w:val="NzevChar"/>
    <w:uiPriority w:val="99"/>
    <w:qFormat/>
    <w:rsid w:val="00DD745F"/>
    <w:pPr>
      <w:pBdr>
        <w:bottom w:val="single" w:sz="8" w:space="4" w:color="4F81BD"/>
      </w:pBdr>
      <w:spacing w:after="300"/>
      <w:contextualSpacing/>
    </w:pPr>
    <w:rPr>
      <w:rFonts w:ascii="Arial" w:hAnsi="Arial"/>
      <w:spacing w:val="5"/>
      <w:kern w:val="28"/>
      <w:sz w:val="52"/>
      <w:szCs w:val="52"/>
      <w:lang w:eastAsia="cs-CZ"/>
    </w:rPr>
  </w:style>
  <w:style w:type="character" w:customStyle="1" w:styleId="NzevChar">
    <w:name w:val="Název Char"/>
    <w:basedOn w:val="Standardnpsmoodstavce"/>
    <w:link w:val="Nzev"/>
    <w:uiPriority w:val="99"/>
    <w:locked/>
    <w:rsid w:val="00DD745F"/>
    <w:rPr>
      <w:rFonts w:ascii="Arial" w:hAnsi="Arial" w:cs="Times New Roman"/>
      <w:spacing w:val="5"/>
      <w:kern w:val="28"/>
      <w:sz w:val="52"/>
    </w:rPr>
  </w:style>
  <w:style w:type="paragraph" w:styleId="Nadpisobsahu">
    <w:name w:val="TOC Heading"/>
    <w:basedOn w:val="Nadpis1"/>
    <w:next w:val="Normln"/>
    <w:uiPriority w:val="99"/>
    <w:qFormat/>
    <w:rsid w:val="00087CC9"/>
    <w:pPr>
      <w:outlineLvl w:val="9"/>
    </w:pPr>
    <w:rPr>
      <w:rFonts w:ascii="Cambria" w:hAnsi="Cambria"/>
      <w:color w:val="365F91"/>
      <w:sz w:val="28"/>
      <w:lang w:eastAsia="cs-CZ"/>
    </w:rPr>
  </w:style>
  <w:style w:type="paragraph" w:styleId="Obsah1">
    <w:name w:val="toc 1"/>
    <w:basedOn w:val="Normln"/>
    <w:next w:val="Normln"/>
    <w:autoRedefine/>
    <w:uiPriority w:val="39"/>
    <w:rsid w:val="00087CC9"/>
    <w:pPr>
      <w:spacing w:after="120"/>
    </w:pPr>
    <w:rPr>
      <w:rFonts w:ascii="Calibri" w:hAnsi="Calibri"/>
      <w:b/>
      <w:bCs/>
      <w:caps/>
      <w:sz w:val="20"/>
      <w:szCs w:val="20"/>
    </w:rPr>
  </w:style>
  <w:style w:type="paragraph" w:styleId="Obsah2">
    <w:name w:val="toc 2"/>
    <w:basedOn w:val="Normln"/>
    <w:next w:val="Normln"/>
    <w:autoRedefine/>
    <w:uiPriority w:val="39"/>
    <w:rsid w:val="004A0753"/>
    <w:pPr>
      <w:tabs>
        <w:tab w:val="left" w:pos="960"/>
        <w:tab w:val="right" w:leader="underscore" w:pos="9062"/>
      </w:tabs>
      <w:ind w:left="240"/>
    </w:pPr>
    <w:rPr>
      <w:rFonts w:ascii="Calibri" w:hAnsi="Calibri"/>
      <w:b/>
      <w:smallCaps/>
      <w:noProof/>
      <w:sz w:val="20"/>
      <w:szCs w:val="20"/>
    </w:rPr>
  </w:style>
  <w:style w:type="paragraph" w:styleId="Obsah3">
    <w:name w:val="toc 3"/>
    <w:basedOn w:val="Normln"/>
    <w:next w:val="Normln"/>
    <w:autoRedefine/>
    <w:uiPriority w:val="99"/>
    <w:rsid w:val="00D67E10"/>
    <w:pPr>
      <w:tabs>
        <w:tab w:val="right" w:leader="underscore" w:pos="9062"/>
      </w:tabs>
      <w:ind w:left="480"/>
    </w:pPr>
    <w:rPr>
      <w:rFonts w:ascii="Calibri" w:hAnsi="Calibri"/>
      <w:iCs/>
      <w:noProof/>
      <w:sz w:val="20"/>
      <w:szCs w:val="20"/>
    </w:rPr>
  </w:style>
  <w:style w:type="character" w:styleId="Hypertextovodkaz">
    <w:name w:val="Hyperlink"/>
    <w:basedOn w:val="Standardnpsmoodstavce"/>
    <w:uiPriority w:val="99"/>
    <w:rsid w:val="00087CC9"/>
    <w:rPr>
      <w:rFonts w:cs="Times New Roman"/>
      <w:color w:val="0000FF"/>
      <w:u w:val="single"/>
    </w:rPr>
  </w:style>
  <w:style w:type="paragraph" w:styleId="Bezmezer">
    <w:name w:val="No Spacing"/>
    <w:uiPriority w:val="99"/>
    <w:qFormat/>
    <w:rsid w:val="004B4B8A"/>
    <w:rPr>
      <w:rFonts w:ascii="Times New Roman" w:hAnsi="Times New Roman"/>
      <w:sz w:val="24"/>
      <w:lang w:eastAsia="en-US"/>
    </w:rPr>
  </w:style>
  <w:style w:type="paragraph" w:styleId="Textpoznpodarou">
    <w:name w:val="footnote text"/>
    <w:basedOn w:val="Normln"/>
    <w:link w:val="TextpoznpodarouChar"/>
    <w:uiPriority w:val="99"/>
    <w:rsid w:val="009A014E"/>
    <w:pPr>
      <w:tabs>
        <w:tab w:val="left" w:pos="1134"/>
      </w:tabs>
      <w:spacing w:line="280" w:lineRule="atLeast"/>
    </w:pPr>
    <w:rPr>
      <w:rFonts w:ascii="Times New Roman" w:hAnsi="Times New Roman"/>
      <w:sz w:val="20"/>
      <w:szCs w:val="20"/>
      <w:lang w:eastAsia="cs-CZ"/>
    </w:rPr>
  </w:style>
  <w:style w:type="character" w:customStyle="1" w:styleId="TextpoznpodarouChar">
    <w:name w:val="Text pozn. pod čarou Char"/>
    <w:basedOn w:val="Standardnpsmoodstavce"/>
    <w:link w:val="Textpoznpodarou"/>
    <w:uiPriority w:val="99"/>
    <w:locked/>
    <w:rsid w:val="009A014E"/>
    <w:rPr>
      <w:rFonts w:ascii="Times New Roman" w:hAnsi="Times New Roman" w:cs="Times New Roman"/>
      <w:sz w:val="20"/>
    </w:rPr>
  </w:style>
  <w:style w:type="character" w:styleId="Znakapoznpodarou">
    <w:name w:val="footnote reference"/>
    <w:basedOn w:val="Standardnpsmoodstavce"/>
    <w:uiPriority w:val="99"/>
    <w:rsid w:val="009A014E"/>
    <w:rPr>
      <w:rFonts w:cs="Times New Roman"/>
      <w:vertAlign w:val="superscript"/>
    </w:rPr>
  </w:style>
  <w:style w:type="character" w:styleId="slostrnky">
    <w:name w:val="page number"/>
    <w:basedOn w:val="Standardnpsmoodstavce"/>
    <w:uiPriority w:val="99"/>
    <w:rsid w:val="009A014E"/>
    <w:rPr>
      <w:rFonts w:cs="Times New Roman"/>
    </w:rPr>
  </w:style>
  <w:style w:type="paragraph" w:styleId="Obsah4">
    <w:name w:val="toc 4"/>
    <w:basedOn w:val="Normln"/>
    <w:next w:val="Normln"/>
    <w:autoRedefine/>
    <w:uiPriority w:val="99"/>
    <w:locked/>
    <w:rsid w:val="002C1279"/>
    <w:pPr>
      <w:ind w:left="720"/>
    </w:pPr>
    <w:rPr>
      <w:rFonts w:ascii="Calibri" w:hAnsi="Calibri"/>
      <w:sz w:val="18"/>
      <w:szCs w:val="18"/>
    </w:rPr>
  </w:style>
  <w:style w:type="paragraph" w:styleId="Obsah5">
    <w:name w:val="toc 5"/>
    <w:basedOn w:val="Normln"/>
    <w:next w:val="Normln"/>
    <w:autoRedefine/>
    <w:uiPriority w:val="99"/>
    <w:locked/>
    <w:rsid w:val="002C1279"/>
    <w:pPr>
      <w:ind w:left="960"/>
    </w:pPr>
    <w:rPr>
      <w:rFonts w:ascii="Calibri" w:hAnsi="Calibri"/>
      <w:sz w:val="18"/>
      <w:szCs w:val="18"/>
    </w:rPr>
  </w:style>
  <w:style w:type="paragraph" w:styleId="Obsah6">
    <w:name w:val="toc 6"/>
    <w:basedOn w:val="Normln"/>
    <w:next w:val="Normln"/>
    <w:autoRedefine/>
    <w:uiPriority w:val="99"/>
    <w:locked/>
    <w:rsid w:val="002C1279"/>
    <w:pPr>
      <w:ind w:left="1200"/>
    </w:pPr>
    <w:rPr>
      <w:rFonts w:ascii="Calibri" w:hAnsi="Calibri"/>
      <w:sz w:val="18"/>
      <w:szCs w:val="18"/>
    </w:rPr>
  </w:style>
  <w:style w:type="paragraph" w:styleId="Obsah7">
    <w:name w:val="toc 7"/>
    <w:basedOn w:val="Normln"/>
    <w:next w:val="Normln"/>
    <w:autoRedefine/>
    <w:uiPriority w:val="99"/>
    <w:locked/>
    <w:rsid w:val="002C1279"/>
    <w:pPr>
      <w:ind w:left="1440"/>
    </w:pPr>
    <w:rPr>
      <w:rFonts w:ascii="Calibri" w:hAnsi="Calibri"/>
      <w:sz w:val="18"/>
      <w:szCs w:val="18"/>
    </w:rPr>
  </w:style>
  <w:style w:type="paragraph" w:styleId="Obsah8">
    <w:name w:val="toc 8"/>
    <w:basedOn w:val="Normln"/>
    <w:next w:val="Normln"/>
    <w:autoRedefine/>
    <w:uiPriority w:val="99"/>
    <w:locked/>
    <w:rsid w:val="002C1279"/>
    <w:pPr>
      <w:ind w:left="1680"/>
    </w:pPr>
    <w:rPr>
      <w:rFonts w:ascii="Calibri" w:hAnsi="Calibri"/>
      <w:sz w:val="18"/>
      <w:szCs w:val="18"/>
    </w:rPr>
  </w:style>
  <w:style w:type="paragraph" w:styleId="Obsah9">
    <w:name w:val="toc 9"/>
    <w:basedOn w:val="Normln"/>
    <w:next w:val="Normln"/>
    <w:autoRedefine/>
    <w:uiPriority w:val="99"/>
    <w:locked/>
    <w:rsid w:val="002C1279"/>
    <w:pPr>
      <w:ind w:left="1920"/>
    </w:pPr>
    <w:rPr>
      <w:rFonts w:ascii="Calibri" w:hAnsi="Calibri"/>
      <w:sz w:val="18"/>
      <w:szCs w:val="18"/>
    </w:rPr>
  </w:style>
  <w:style w:type="paragraph" w:styleId="Zhlav">
    <w:name w:val="header"/>
    <w:basedOn w:val="Normln"/>
    <w:link w:val="ZhlavChar"/>
    <w:uiPriority w:val="99"/>
    <w:locked/>
    <w:rsid w:val="006D4C21"/>
    <w:pPr>
      <w:tabs>
        <w:tab w:val="center" w:pos="4536"/>
        <w:tab w:val="right" w:pos="9072"/>
      </w:tabs>
    </w:pPr>
    <w:rPr>
      <w:rFonts w:ascii="Times New Roman" w:hAnsi="Times New Roman"/>
      <w:szCs w:val="20"/>
    </w:rPr>
  </w:style>
  <w:style w:type="character" w:customStyle="1" w:styleId="ZhlavChar">
    <w:name w:val="Záhlaví Char"/>
    <w:basedOn w:val="Standardnpsmoodstavce"/>
    <w:link w:val="Zhlav"/>
    <w:uiPriority w:val="99"/>
    <w:locked/>
    <w:rsid w:val="006D4C21"/>
    <w:rPr>
      <w:rFonts w:ascii="Times New Roman" w:hAnsi="Times New Roman" w:cs="Times New Roman"/>
      <w:sz w:val="24"/>
      <w:lang w:eastAsia="en-US"/>
    </w:rPr>
  </w:style>
  <w:style w:type="paragraph" w:customStyle="1" w:styleId="nadpiszkona">
    <w:name w:val="nadpis zákona"/>
    <w:basedOn w:val="Normln"/>
    <w:next w:val="Normln"/>
    <w:uiPriority w:val="99"/>
    <w:rsid w:val="00C35835"/>
    <w:pPr>
      <w:keepNext/>
      <w:keepLines/>
      <w:jc w:val="center"/>
      <w:outlineLvl w:val="0"/>
    </w:pPr>
    <w:rPr>
      <w:rFonts w:ascii="Times New Roman" w:eastAsia="Times New Roman" w:hAnsi="Times New Roman"/>
      <w:b/>
      <w:szCs w:val="20"/>
      <w:lang w:eastAsia="cs-CZ"/>
    </w:rPr>
  </w:style>
  <w:style w:type="paragraph" w:customStyle="1" w:styleId="Popisky">
    <w:name w:val="Popisky"/>
    <w:uiPriority w:val="99"/>
    <w:rsid w:val="000D7EB3"/>
    <w:rPr>
      <w:rFonts w:ascii="Arial" w:eastAsia="Times New Roman" w:hAnsi="Arial"/>
      <w:sz w:val="20"/>
      <w:szCs w:val="20"/>
    </w:rPr>
  </w:style>
  <w:style w:type="paragraph" w:styleId="Normlnweb">
    <w:name w:val="Normal (Web)"/>
    <w:basedOn w:val="Normln"/>
    <w:uiPriority w:val="99"/>
    <w:semiHidden/>
    <w:locked/>
    <w:rsid w:val="00041599"/>
    <w:pPr>
      <w:spacing w:before="100" w:beforeAutospacing="1" w:after="100" w:afterAutospacing="1"/>
      <w:jc w:val="left"/>
    </w:pPr>
    <w:rPr>
      <w:rFonts w:ascii="Times New Roman" w:eastAsia="Times New Roman" w:hAnsi="Times New Roman"/>
      <w:szCs w:val="24"/>
      <w:lang w:eastAsia="cs-CZ"/>
    </w:rPr>
  </w:style>
  <w:style w:type="character" w:styleId="Sledovanodkaz">
    <w:name w:val="FollowedHyperlink"/>
    <w:basedOn w:val="Standardnpsmoodstavce"/>
    <w:uiPriority w:val="99"/>
    <w:semiHidden/>
    <w:locked/>
    <w:rsid w:val="00CC6E1D"/>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ln">
    <w:name w:val="Normal"/>
    <w:qFormat/>
    <w:rsid w:val="00F308EE"/>
    <w:pPr>
      <w:spacing w:before="120"/>
      <w:jc w:val="both"/>
    </w:pPr>
    <w:rPr>
      <w:rFonts w:ascii="Garamond" w:hAnsi="Garamond"/>
      <w:sz w:val="24"/>
      <w:lang w:eastAsia="en-US"/>
    </w:rPr>
  </w:style>
  <w:style w:type="paragraph" w:styleId="Nadpis1">
    <w:name w:val="heading 1"/>
    <w:basedOn w:val="Normln"/>
    <w:next w:val="Normln"/>
    <w:link w:val="Nadpis1Char"/>
    <w:autoRedefine/>
    <w:uiPriority w:val="99"/>
    <w:qFormat/>
    <w:rsid w:val="005A37BD"/>
    <w:pPr>
      <w:keepNext/>
      <w:keepLines/>
      <w:pageBreakBefore/>
      <w:numPr>
        <w:numId w:val="3"/>
      </w:numPr>
      <w:pBdr>
        <w:top w:val="dotted" w:sz="4" w:space="1" w:color="auto"/>
        <w:bottom w:val="dotted" w:sz="4" w:space="1" w:color="auto"/>
      </w:pBdr>
      <w:spacing w:before="6000"/>
      <w:ind w:left="357" w:hanging="357"/>
      <w:jc w:val="center"/>
      <w:outlineLvl w:val="0"/>
    </w:pPr>
    <w:rPr>
      <w:rFonts w:eastAsia="Times New Roman"/>
      <w:b/>
      <w:bCs/>
      <w:sz w:val="72"/>
      <w:szCs w:val="28"/>
    </w:rPr>
  </w:style>
  <w:style w:type="paragraph" w:styleId="Nadpis2">
    <w:name w:val="heading 2"/>
    <w:basedOn w:val="Normln"/>
    <w:next w:val="Normln"/>
    <w:link w:val="Nadpis2Char"/>
    <w:autoRedefine/>
    <w:uiPriority w:val="99"/>
    <w:qFormat/>
    <w:rsid w:val="00C67DDD"/>
    <w:pPr>
      <w:keepNext/>
      <w:keepLines/>
      <w:pageBreakBefore/>
      <w:numPr>
        <w:ilvl w:val="1"/>
        <w:numId w:val="3"/>
      </w:numPr>
      <w:pBdr>
        <w:bottom w:val="single" w:sz="4" w:space="1" w:color="auto"/>
      </w:pBdr>
      <w:tabs>
        <w:tab w:val="left" w:pos="1701"/>
      </w:tabs>
      <w:spacing w:before="240" w:after="240"/>
      <w:ind w:left="1283"/>
      <w:jc w:val="left"/>
      <w:outlineLvl w:val="1"/>
    </w:pPr>
    <w:rPr>
      <w:rFonts w:eastAsia="Times New Roman"/>
      <w:b/>
      <w:bCs/>
      <w:sz w:val="40"/>
      <w:szCs w:val="26"/>
      <w:lang w:eastAsia="cs-CZ"/>
    </w:rPr>
  </w:style>
  <w:style w:type="paragraph" w:styleId="Nadpis3">
    <w:name w:val="heading 3"/>
    <w:basedOn w:val="Normln"/>
    <w:next w:val="Normln"/>
    <w:link w:val="Nadpis3Char"/>
    <w:autoRedefine/>
    <w:uiPriority w:val="99"/>
    <w:qFormat/>
    <w:rsid w:val="00314237"/>
    <w:pPr>
      <w:keepNext/>
      <w:keepLines/>
      <w:spacing w:before="240"/>
      <w:jc w:val="left"/>
      <w:outlineLvl w:val="2"/>
    </w:pPr>
    <w:rPr>
      <w:rFonts w:eastAsia="Times New Roman"/>
      <w:b/>
      <w:bCs/>
      <w:sz w:val="28"/>
      <w:szCs w:val="28"/>
      <w:lang w:eastAsia="cs-CZ"/>
    </w:rPr>
  </w:style>
  <w:style w:type="paragraph" w:styleId="Nadpis4">
    <w:name w:val="heading 4"/>
    <w:basedOn w:val="Normln"/>
    <w:next w:val="Normln"/>
    <w:link w:val="Nadpis4Char"/>
    <w:uiPriority w:val="99"/>
    <w:qFormat/>
    <w:rsid w:val="00D701C0"/>
    <w:pPr>
      <w:keepNext/>
      <w:keepLines/>
      <w:spacing w:before="200"/>
      <w:ind w:left="426" w:hanging="426"/>
      <w:outlineLvl w:val="3"/>
    </w:pPr>
    <w:rPr>
      <w:b/>
    </w:rPr>
  </w:style>
  <w:style w:type="paragraph" w:styleId="Nadpis5">
    <w:name w:val="heading 5"/>
    <w:basedOn w:val="Normln"/>
    <w:next w:val="Normln"/>
    <w:link w:val="Nadpis5Char"/>
    <w:uiPriority w:val="99"/>
    <w:qFormat/>
    <w:rsid w:val="00FB65F8"/>
    <w:pPr>
      <w:keepNext/>
      <w:keepLines/>
      <w:spacing w:before="200"/>
      <w:outlineLvl w:val="4"/>
    </w:pPr>
    <w:rPr>
      <w:rFonts w:eastAsia="Times New Roman"/>
      <w:i/>
      <w:color w:val="243F60"/>
    </w:rPr>
  </w:style>
  <w:style w:type="paragraph" w:styleId="Nadpis6">
    <w:name w:val="heading 6"/>
    <w:basedOn w:val="Normln"/>
    <w:next w:val="Normln"/>
    <w:link w:val="Nadpis6Char"/>
    <w:uiPriority w:val="99"/>
    <w:qFormat/>
    <w:rsid w:val="00087CC9"/>
    <w:pPr>
      <w:keepNext/>
      <w:keepLines/>
      <w:spacing w:before="200"/>
      <w:outlineLvl w:val="5"/>
    </w:pPr>
    <w:rPr>
      <w:rFonts w:ascii="Cambria" w:hAnsi="Cambria"/>
      <w:i/>
      <w:iCs/>
      <w:color w:val="243F60"/>
      <w:szCs w:val="20"/>
    </w:rPr>
  </w:style>
  <w:style w:type="paragraph" w:styleId="Nadpis7">
    <w:name w:val="heading 7"/>
    <w:basedOn w:val="Normln"/>
    <w:next w:val="Normln"/>
    <w:link w:val="Nadpis7Char"/>
    <w:uiPriority w:val="99"/>
    <w:qFormat/>
    <w:rsid w:val="00087CC9"/>
    <w:pPr>
      <w:keepNext/>
      <w:keepLines/>
      <w:spacing w:before="200"/>
      <w:outlineLvl w:val="6"/>
    </w:pPr>
    <w:rPr>
      <w:rFonts w:ascii="Cambria" w:hAnsi="Cambria"/>
      <w:i/>
      <w:iCs/>
      <w:color w:val="404040"/>
      <w:szCs w:val="20"/>
    </w:rPr>
  </w:style>
  <w:style w:type="paragraph" w:styleId="Nadpis8">
    <w:name w:val="heading 8"/>
    <w:basedOn w:val="Normln"/>
    <w:next w:val="Normln"/>
    <w:link w:val="Nadpis8Char"/>
    <w:uiPriority w:val="99"/>
    <w:qFormat/>
    <w:rsid w:val="00087CC9"/>
    <w:pPr>
      <w:keepNext/>
      <w:keepLines/>
      <w:spacing w:before="200"/>
      <w:outlineLvl w:val="7"/>
    </w:pPr>
    <w:rPr>
      <w:rFonts w:ascii="Cambria" w:hAnsi="Cambria"/>
      <w:color w:val="404040"/>
      <w:sz w:val="20"/>
      <w:szCs w:val="20"/>
    </w:rPr>
  </w:style>
  <w:style w:type="paragraph" w:styleId="Nadpis9">
    <w:name w:val="heading 9"/>
    <w:basedOn w:val="Normln"/>
    <w:next w:val="Normln"/>
    <w:link w:val="Nadpis9Char"/>
    <w:uiPriority w:val="99"/>
    <w:qFormat/>
    <w:rsid w:val="00087CC9"/>
    <w:pPr>
      <w:keepNext/>
      <w:keepLines/>
      <w:spacing w:before="20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A37BD"/>
    <w:rPr>
      <w:rFonts w:ascii="Garamond" w:hAnsi="Garamond" w:cs="Times New Roman"/>
      <w:b/>
      <w:sz w:val="28"/>
      <w:lang w:eastAsia="en-US"/>
    </w:rPr>
  </w:style>
  <w:style w:type="character" w:customStyle="1" w:styleId="Nadpis2Char">
    <w:name w:val="Nadpis 2 Char"/>
    <w:basedOn w:val="Standardnpsmoodstavce"/>
    <w:link w:val="Nadpis2"/>
    <w:uiPriority w:val="99"/>
    <w:locked/>
    <w:rsid w:val="00C67DDD"/>
    <w:rPr>
      <w:rFonts w:ascii="Garamond" w:hAnsi="Garamond" w:cs="Times New Roman"/>
      <w:b/>
      <w:bCs/>
      <w:sz w:val="26"/>
      <w:szCs w:val="26"/>
    </w:rPr>
  </w:style>
  <w:style w:type="character" w:customStyle="1" w:styleId="Nadpis3Char">
    <w:name w:val="Nadpis 3 Char"/>
    <w:basedOn w:val="Standardnpsmoodstavce"/>
    <w:link w:val="Nadpis3"/>
    <w:uiPriority w:val="99"/>
    <w:locked/>
    <w:rsid w:val="00314237"/>
    <w:rPr>
      <w:rFonts w:ascii="Garamond" w:eastAsia="Times New Roman" w:hAnsi="Garamond"/>
      <w:b/>
      <w:bCs/>
      <w:sz w:val="28"/>
      <w:szCs w:val="28"/>
    </w:rPr>
  </w:style>
  <w:style w:type="character" w:customStyle="1" w:styleId="Nadpis4Char">
    <w:name w:val="Nadpis 4 Char"/>
    <w:basedOn w:val="Standardnpsmoodstavce"/>
    <w:link w:val="Nadpis4"/>
    <w:uiPriority w:val="99"/>
    <w:locked/>
    <w:rsid w:val="00D701C0"/>
    <w:rPr>
      <w:rFonts w:ascii="Garamond" w:hAnsi="Garamond" w:cs="Times New Roman"/>
      <w:b/>
      <w:sz w:val="22"/>
      <w:lang w:eastAsia="en-US"/>
    </w:rPr>
  </w:style>
  <w:style w:type="character" w:customStyle="1" w:styleId="Nadpis5Char">
    <w:name w:val="Nadpis 5 Char"/>
    <w:basedOn w:val="Standardnpsmoodstavce"/>
    <w:link w:val="Nadpis5"/>
    <w:uiPriority w:val="99"/>
    <w:locked/>
    <w:rsid w:val="00FB65F8"/>
    <w:rPr>
      <w:rFonts w:ascii="Garamond" w:hAnsi="Garamond" w:cs="Times New Roman"/>
      <w:i/>
      <w:color w:val="243F60"/>
      <w:sz w:val="22"/>
      <w:lang w:eastAsia="en-US"/>
    </w:rPr>
  </w:style>
  <w:style w:type="character" w:customStyle="1" w:styleId="Nadpis6Char">
    <w:name w:val="Nadpis 6 Char"/>
    <w:basedOn w:val="Standardnpsmoodstavce"/>
    <w:link w:val="Nadpis6"/>
    <w:uiPriority w:val="99"/>
    <w:locked/>
    <w:rsid w:val="00087CC9"/>
    <w:rPr>
      <w:rFonts w:ascii="Cambria" w:hAnsi="Cambria" w:cs="Times New Roman"/>
      <w:i/>
      <w:color w:val="243F60"/>
      <w:sz w:val="24"/>
      <w:lang w:eastAsia="en-US"/>
    </w:rPr>
  </w:style>
  <w:style w:type="character" w:customStyle="1" w:styleId="Nadpis7Char">
    <w:name w:val="Nadpis 7 Char"/>
    <w:basedOn w:val="Standardnpsmoodstavce"/>
    <w:link w:val="Nadpis7"/>
    <w:uiPriority w:val="99"/>
    <w:locked/>
    <w:rsid w:val="00087CC9"/>
    <w:rPr>
      <w:rFonts w:ascii="Cambria" w:hAnsi="Cambria" w:cs="Times New Roman"/>
      <w:i/>
      <w:color w:val="404040"/>
      <w:sz w:val="24"/>
      <w:lang w:eastAsia="en-US"/>
    </w:rPr>
  </w:style>
  <w:style w:type="character" w:customStyle="1" w:styleId="Nadpis8Char">
    <w:name w:val="Nadpis 8 Char"/>
    <w:basedOn w:val="Standardnpsmoodstavce"/>
    <w:link w:val="Nadpis8"/>
    <w:uiPriority w:val="99"/>
    <w:locked/>
    <w:rsid w:val="00087CC9"/>
    <w:rPr>
      <w:rFonts w:ascii="Cambria" w:hAnsi="Cambria" w:cs="Times New Roman"/>
      <w:color w:val="404040"/>
      <w:sz w:val="20"/>
      <w:lang w:eastAsia="en-US"/>
    </w:rPr>
  </w:style>
  <w:style w:type="character" w:customStyle="1" w:styleId="Nadpis9Char">
    <w:name w:val="Nadpis 9 Char"/>
    <w:basedOn w:val="Standardnpsmoodstavce"/>
    <w:link w:val="Nadpis9"/>
    <w:uiPriority w:val="99"/>
    <w:locked/>
    <w:rsid w:val="00087CC9"/>
    <w:rPr>
      <w:rFonts w:ascii="Cambria" w:hAnsi="Cambria" w:cs="Times New Roman"/>
      <w:i/>
      <w:color w:val="404040"/>
      <w:sz w:val="20"/>
      <w:lang w:eastAsia="en-US"/>
    </w:rPr>
  </w:style>
  <w:style w:type="paragraph" w:styleId="Textbubliny">
    <w:name w:val="Balloon Text"/>
    <w:basedOn w:val="Normln"/>
    <w:link w:val="TextbublinyChar"/>
    <w:uiPriority w:val="99"/>
    <w:semiHidden/>
    <w:rsid w:val="000B1628"/>
    <w:rPr>
      <w:rFonts w:ascii="Tahoma" w:hAnsi="Tahoma"/>
      <w:sz w:val="16"/>
      <w:szCs w:val="16"/>
      <w:lang w:eastAsia="cs-CZ"/>
    </w:rPr>
  </w:style>
  <w:style w:type="character" w:customStyle="1" w:styleId="TextbublinyChar">
    <w:name w:val="Text bubliny Char"/>
    <w:basedOn w:val="Standardnpsmoodstavce"/>
    <w:link w:val="Textbubliny"/>
    <w:uiPriority w:val="99"/>
    <w:semiHidden/>
    <w:locked/>
    <w:rsid w:val="000B1628"/>
    <w:rPr>
      <w:rFonts w:ascii="Tahoma" w:hAnsi="Tahoma" w:cs="Times New Roman"/>
      <w:sz w:val="16"/>
    </w:rPr>
  </w:style>
  <w:style w:type="paragraph" w:customStyle="1" w:styleId="Dvodovzprva">
    <w:name w:val="Důvodová zpráva"/>
    <w:basedOn w:val="Normln"/>
    <w:link w:val="DvodovzprvaChar"/>
    <w:uiPriority w:val="99"/>
    <w:rsid w:val="000B1628"/>
    <w:pPr>
      <w:keepNext/>
      <w:outlineLvl w:val="0"/>
    </w:pPr>
    <w:rPr>
      <w:rFonts w:ascii="Arial" w:hAnsi="Arial"/>
      <w:color w:val="0000FF"/>
      <w:sz w:val="20"/>
      <w:szCs w:val="20"/>
      <w:lang w:eastAsia="cs-CZ"/>
    </w:rPr>
  </w:style>
  <w:style w:type="character" w:customStyle="1" w:styleId="DvodovzprvaChar">
    <w:name w:val="Důvodová zpráva Char"/>
    <w:link w:val="Dvodovzprva"/>
    <w:uiPriority w:val="99"/>
    <w:locked/>
    <w:rsid w:val="000B1628"/>
    <w:rPr>
      <w:rFonts w:ascii="Arial" w:hAnsi="Arial"/>
      <w:color w:val="0000FF"/>
      <w:sz w:val="20"/>
      <w:lang w:eastAsia="cs-CZ"/>
    </w:rPr>
  </w:style>
  <w:style w:type="paragraph" w:customStyle="1" w:styleId="DZ4-textDZ">
    <w:name w:val="DZ 4 - text DZ"/>
    <w:basedOn w:val="Normln"/>
    <w:uiPriority w:val="99"/>
    <w:rsid w:val="000B1628"/>
    <w:pPr>
      <w:outlineLvl w:val="0"/>
    </w:pPr>
    <w:rPr>
      <w:rFonts w:ascii="Arial" w:eastAsia="Times New Roman" w:hAnsi="Arial"/>
      <w:color w:val="0000FF"/>
      <w:szCs w:val="20"/>
      <w:lang w:eastAsia="cs-CZ"/>
    </w:rPr>
  </w:style>
  <w:style w:type="paragraph" w:styleId="Odstavecseseznamem">
    <w:name w:val="List Paragraph"/>
    <w:basedOn w:val="Normln"/>
    <w:uiPriority w:val="99"/>
    <w:qFormat/>
    <w:rsid w:val="000B1628"/>
    <w:pPr>
      <w:ind w:left="720"/>
      <w:contextualSpacing/>
    </w:pPr>
  </w:style>
  <w:style w:type="paragraph" w:customStyle="1" w:styleId="Default">
    <w:name w:val="Default"/>
    <w:uiPriority w:val="99"/>
    <w:rsid w:val="000B1628"/>
    <w:pPr>
      <w:autoSpaceDE w:val="0"/>
      <w:autoSpaceDN w:val="0"/>
      <w:adjustRightInd w:val="0"/>
    </w:pPr>
    <w:rPr>
      <w:rFonts w:ascii="Times New Roman" w:hAnsi="Times New Roman"/>
      <w:color w:val="000000"/>
      <w:sz w:val="24"/>
      <w:szCs w:val="24"/>
      <w:lang w:val="sk-SK" w:eastAsia="sk-SK"/>
    </w:rPr>
  </w:style>
  <w:style w:type="paragraph" w:customStyle="1" w:styleId="Odstavecseseznamem1">
    <w:name w:val="Odstavec se seznamem1"/>
    <w:basedOn w:val="Normln"/>
    <w:link w:val="ListParagraphChar"/>
    <w:uiPriority w:val="99"/>
    <w:rsid w:val="000B1628"/>
    <w:pPr>
      <w:spacing w:after="200"/>
      <w:ind w:left="720"/>
      <w:contextualSpacing/>
    </w:pPr>
    <w:rPr>
      <w:rFonts w:ascii="Calibri" w:hAnsi="Calibri"/>
      <w:sz w:val="20"/>
      <w:szCs w:val="20"/>
      <w:lang w:eastAsia="cs-CZ"/>
    </w:rPr>
  </w:style>
  <w:style w:type="character" w:customStyle="1" w:styleId="ListParagraphChar">
    <w:name w:val="List Paragraph Char"/>
    <w:link w:val="Odstavecseseznamem1"/>
    <w:uiPriority w:val="99"/>
    <w:locked/>
    <w:rsid w:val="000B1628"/>
    <w:rPr>
      <w:rFonts w:ascii="Calibri" w:hAnsi="Calibri"/>
      <w:sz w:val="20"/>
      <w:lang w:eastAsia="cs-CZ"/>
    </w:rPr>
  </w:style>
  <w:style w:type="paragraph" w:customStyle="1" w:styleId="apismeno">
    <w:name w:val="a_pismeno"/>
    <w:basedOn w:val="Normln"/>
    <w:link w:val="apismenoChar"/>
    <w:uiPriority w:val="99"/>
    <w:rsid w:val="000B1628"/>
    <w:pPr>
      <w:widowControl w:val="0"/>
      <w:tabs>
        <w:tab w:val="left" w:pos="284"/>
      </w:tabs>
      <w:ind w:left="284" w:hanging="284"/>
      <w:outlineLvl w:val="2"/>
    </w:pPr>
    <w:rPr>
      <w:rFonts w:ascii="Times New Roman" w:hAnsi="Times New Roman"/>
      <w:sz w:val="20"/>
      <w:szCs w:val="20"/>
      <w:lang w:eastAsia="cs-CZ"/>
    </w:rPr>
  </w:style>
  <w:style w:type="character" w:customStyle="1" w:styleId="apismenoChar">
    <w:name w:val="a_pismeno Char"/>
    <w:link w:val="apismeno"/>
    <w:uiPriority w:val="99"/>
    <w:locked/>
    <w:rsid w:val="000B1628"/>
    <w:rPr>
      <w:rFonts w:ascii="Times New Roman" w:hAnsi="Times New Roman"/>
      <w:sz w:val="20"/>
      <w:lang w:eastAsia="cs-CZ"/>
    </w:rPr>
  </w:style>
  <w:style w:type="paragraph" w:styleId="Zpat">
    <w:name w:val="footer"/>
    <w:basedOn w:val="Normln"/>
    <w:link w:val="ZpatChar"/>
    <w:uiPriority w:val="99"/>
    <w:rsid w:val="000B1628"/>
    <w:pPr>
      <w:tabs>
        <w:tab w:val="center" w:pos="4536"/>
        <w:tab w:val="right" w:pos="9072"/>
      </w:tabs>
    </w:pPr>
    <w:rPr>
      <w:rFonts w:ascii="Times New Roman" w:hAnsi="Times New Roman"/>
      <w:sz w:val="20"/>
      <w:szCs w:val="20"/>
      <w:lang w:eastAsia="cs-CZ"/>
    </w:rPr>
  </w:style>
  <w:style w:type="character" w:customStyle="1" w:styleId="ZpatChar">
    <w:name w:val="Zápatí Char"/>
    <w:basedOn w:val="Standardnpsmoodstavce"/>
    <w:link w:val="Zpat"/>
    <w:uiPriority w:val="99"/>
    <w:locked/>
    <w:rsid w:val="000B1628"/>
    <w:rPr>
      <w:rFonts w:ascii="Times New Roman" w:hAnsi="Times New Roman" w:cs="Times New Roman"/>
      <w:sz w:val="20"/>
      <w:lang w:eastAsia="cs-CZ"/>
    </w:rPr>
  </w:style>
  <w:style w:type="paragraph" w:customStyle="1" w:styleId="default0">
    <w:name w:val="default"/>
    <w:basedOn w:val="Normln"/>
    <w:uiPriority w:val="99"/>
    <w:rsid w:val="000B1628"/>
    <w:pPr>
      <w:autoSpaceDE w:val="0"/>
      <w:autoSpaceDN w:val="0"/>
    </w:pPr>
    <w:rPr>
      <w:color w:val="000000"/>
      <w:szCs w:val="24"/>
      <w:lang w:eastAsia="cs-CZ"/>
    </w:rPr>
  </w:style>
  <w:style w:type="paragraph" w:customStyle="1" w:styleId="ZkladntextIMP">
    <w:name w:val="Základní text_IMP"/>
    <w:basedOn w:val="Normln"/>
    <w:uiPriority w:val="99"/>
    <w:rsid w:val="000B1628"/>
    <w:pPr>
      <w:suppressAutoHyphens/>
    </w:pPr>
    <w:rPr>
      <w:rFonts w:ascii="Arial" w:eastAsia="Times New Roman" w:hAnsi="Arial"/>
      <w:sz w:val="28"/>
      <w:szCs w:val="20"/>
      <w:lang w:eastAsia="cs-CZ"/>
    </w:rPr>
  </w:style>
  <w:style w:type="character" w:styleId="Odkaznakoment">
    <w:name w:val="annotation reference"/>
    <w:basedOn w:val="Standardnpsmoodstavce"/>
    <w:uiPriority w:val="99"/>
    <w:semiHidden/>
    <w:rsid w:val="00372C0C"/>
    <w:rPr>
      <w:rFonts w:cs="Times New Roman"/>
      <w:sz w:val="16"/>
    </w:rPr>
  </w:style>
  <w:style w:type="paragraph" w:styleId="Textkomente">
    <w:name w:val="annotation text"/>
    <w:basedOn w:val="Normln"/>
    <w:link w:val="TextkomenteChar"/>
    <w:uiPriority w:val="99"/>
    <w:semiHidden/>
    <w:rsid w:val="00372C0C"/>
    <w:rPr>
      <w:rFonts w:ascii="Times New Roman" w:hAnsi="Times New Roman"/>
      <w:sz w:val="20"/>
      <w:szCs w:val="20"/>
      <w:lang w:eastAsia="cs-CZ"/>
    </w:rPr>
  </w:style>
  <w:style w:type="character" w:customStyle="1" w:styleId="TextkomenteChar">
    <w:name w:val="Text komentáře Char"/>
    <w:basedOn w:val="Standardnpsmoodstavce"/>
    <w:link w:val="Textkomente"/>
    <w:uiPriority w:val="99"/>
    <w:semiHidden/>
    <w:locked/>
    <w:rsid w:val="00372C0C"/>
    <w:rPr>
      <w:rFonts w:ascii="Times New Roman" w:hAnsi="Times New Roman" w:cs="Times New Roman"/>
      <w:sz w:val="20"/>
    </w:rPr>
  </w:style>
  <w:style w:type="paragraph" w:styleId="Pedmtkomente">
    <w:name w:val="annotation subject"/>
    <w:basedOn w:val="Textkomente"/>
    <w:next w:val="Textkomente"/>
    <w:link w:val="PedmtkomenteChar"/>
    <w:uiPriority w:val="99"/>
    <w:semiHidden/>
    <w:rsid w:val="00372C0C"/>
    <w:rPr>
      <w:b/>
      <w:bCs/>
    </w:rPr>
  </w:style>
  <w:style w:type="character" w:customStyle="1" w:styleId="PedmtkomenteChar">
    <w:name w:val="Předmět komentáře Char"/>
    <w:basedOn w:val="TextkomenteChar"/>
    <w:link w:val="Pedmtkomente"/>
    <w:uiPriority w:val="99"/>
    <w:semiHidden/>
    <w:locked/>
    <w:rsid w:val="00372C0C"/>
    <w:rPr>
      <w:rFonts w:ascii="Times New Roman" w:hAnsi="Times New Roman" w:cs="Times New Roman"/>
      <w:b/>
      <w:sz w:val="20"/>
    </w:rPr>
  </w:style>
  <w:style w:type="paragraph" w:styleId="Revize">
    <w:name w:val="Revision"/>
    <w:hidden/>
    <w:uiPriority w:val="99"/>
    <w:semiHidden/>
    <w:rsid w:val="007310D7"/>
    <w:rPr>
      <w:rFonts w:ascii="Times New Roman" w:hAnsi="Times New Roman"/>
      <w:sz w:val="24"/>
      <w:lang w:eastAsia="en-US"/>
    </w:rPr>
  </w:style>
  <w:style w:type="character" w:customStyle="1" w:styleId="TextodstavceChar">
    <w:name w:val="Text odstavce Char"/>
    <w:link w:val="Textodstavce"/>
    <w:uiPriority w:val="99"/>
    <w:locked/>
    <w:rsid w:val="00D9667A"/>
    <w:rPr>
      <w:sz w:val="24"/>
    </w:rPr>
  </w:style>
  <w:style w:type="paragraph" w:customStyle="1" w:styleId="Textodstavce">
    <w:name w:val="Text odstavce"/>
    <w:basedOn w:val="Normln"/>
    <w:link w:val="TextodstavceChar"/>
    <w:uiPriority w:val="99"/>
    <w:rsid w:val="00D9667A"/>
    <w:pPr>
      <w:numPr>
        <w:numId w:val="1"/>
      </w:numPr>
      <w:tabs>
        <w:tab w:val="left" w:pos="851"/>
      </w:tabs>
      <w:spacing w:after="120"/>
      <w:outlineLvl w:val="6"/>
    </w:pPr>
    <w:rPr>
      <w:rFonts w:ascii="Calibri" w:hAnsi="Calibri"/>
      <w:szCs w:val="20"/>
      <w:lang w:eastAsia="cs-CZ"/>
    </w:rPr>
  </w:style>
  <w:style w:type="paragraph" w:customStyle="1" w:styleId="Textbodu">
    <w:name w:val="Text bodu"/>
    <w:basedOn w:val="Normln"/>
    <w:uiPriority w:val="99"/>
    <w:rsid w:val="00D9667A"/>
    <w:pPr>
      <w:numPr>
        <w:ilvl w:val="2"/>
        <w:numId w:val="1"/>
      </w:numPr>
      <w:outlineLvl w:val="8"/>
    </w:pPr>
    <w:rPr>
      <w:rFonts w:eastAsia="Times New Roman"/>
      <w:szCs w:val="20"/>
      <w:lang w:eastAsia="cs-CZ"/>
    </w:rPr>
  </w:style>
  <w:style w:type="paragraph" w:customStyle="1" w:styleId="Textpsmene">
    <w:name w:val="Text písmene"/>
    <w:basedOn w:val="Normln"/>
    <w:uiPriority w:val="99"/>
    <w:rsid w:val="00D9667A"/>
    <w:pPr>
      <w:numPr>
        <w:ilvl w:val="1"/>
        <w:numId w:val="1"/>
      </w:numPr>
      <w:outlineLvl w:val="7"/>
    </w:pPr>
    <w:rPr>
      <w:rFonts w:eastAsia="Times New Roman"/>
      <w:szCs w:val="20"/>
      <w:lang w:eastAsia="cs-CZ"/>
    </w:rPr>
  </w:style>
  <w:style w:type="paragraph" w:customStyle="1" w:styleId="Odrky">
    <w:name w:val="Odrážky"/>
    <w:basedOn w:val="Normln"/>
    <w:next w:val="Normln"/>
    <w:uiPriority w:val="99"/>
    <w:rsid w:val="007E323B"/>
    <w:pPr>
      <w:numPr>
        <w:numId w:val="2"/>
      </w:numPr>
      <w:spacing w:after="120"/>
    </w:pPr>
    <w:rPr>
      <w:rFonts w:eastAsia="Times New Roman"/>
    </w:rPr>
  </w:style>
  <w:style w:type="paragraph" w:styleId="Nzev">
    <w:name w:val="Title"/>
    <w:basedOn w:val="Normln"/>
    <w:next w:val="Normln"/>
    <w:link w:val="NzevChar"/>
    <w:uiPriority w:val="99"/>
    <w:qFormat/>
    <w:rsid w:val="00DD745F"/>
    <w:pPr>
      <w:pBdr>
        <w:bottom w:val="single" w:sz="8" w:space="4" w:color="4F81BD"/>
      </w:pBdr>
      <w:spacing w:after="300"/>
      <w:contextualSpacing/>
    </w:pPr>
    <w:rPr>
      <w:rFonts w:ascii="Arial" w:hAnsi="Arial"/>
      <w:spacing w:val="5"/>
      <w:kern w:val="28"/>
      <w:sz w:val="52"/>
      <w:szCs w:val="52"/>
      <w:lang w:eastAsia="cs-CZ"/>
    </w:rPr>
  </w:style>
  <w:style w:type="character" w:customStyle="1" w:styleId="NzevChar">
    <w:name w:val="Název Char"/>
    <w:basedOn w:val="Standardnpsmoodstavce"/>
    <w:link w:val="Nzev"/>
    <w:uiPriority w:val="99"/>
    <w:locked/>
    <w:rsid w:val="00DD745F"/>
    <w:rPr>
      <w:rFonts w:ascii="Arial" w:hAnsi="Arial" w:cs="Times New Roman"/>
      <w:spacing w:val="5"/>
      <w:kern w:val="28"/>
      <w:sz w:val="52"/>
    </w:rPr>
  </w:style>
  <w:style w:type="paragraph" w:styleId="Nadpisobsahu">
    <w:name w:val="TOC Heading"/>
    <w:basedOn w:val="Nadpis1"/>
    <w:next w:val="Normln"/>
    <w:uiPriority w:val="99"/>
    <w:qFormat/>
    <w:rsid w:val="00087CC9"/>
    <w:pPr>
      <w:outlineLvl w:val="9"/>
    </w:pPr>
    <w:rPr>
      <w:rFonts w:ascii="Cambria" w:hAnsi="Cambria"/>
      <w:color w:val="365F91"/>
      <w:sz w:val="28"/>
      <w:lang w:eastAsia="cs-CZ"/>
    </w:rPr>
  </w:style>
  <w:style w:type="paragraph" w:styleId="Obsah1">
    <w:name w:val="toc 1"/>
    <w:basedOn w:val="Normln"/>
    <w:next w:val="Normln"/>
    <w:autoRedefine/>
    <w:uiPriority w:val="39"/>
    <w:rsid w:val="00087CC9"/>
    <w:pPr>
      <w:spacing w:after="120"/>
    </w:pPr>
    <w:rPr>
      <w:rFonts w:ascii="Calibri" w:hAnsi="Calibri"/>
      <w:b/>
      <w:bCs/>
      <w:caps/>
      <w:sz w:val="20"/>
      <w:szCs w:val="20"/>
    </w:rPr>
  </w:style>
  <w:style w:type="paragraph" w:styleId="Obsah2">
    <w:name w:val="toc 2"/>
    <w:basedOn w:val="Normln"/>
    <w:next w:val="Normln"/>
    <w:autoRedefine/>
    <w:uiPriority w:val="39"/>
    <w:rsid w:val="004A0753"/>
    <w:pPr>
      <w:tabs>
        <w:tab w:val="left" w:pos="960"/>
        <w:tab w:val="right" w:leader="underscore" w:pos="9062"/>
      </w:tabs>
      <w:ind w:left="240"/>
    </w:pPr>
    <w:rPr>
      <w:rFonts w:ascii="Calibri" w:hAnsi="Calibri"/>
      <w:b/>
      <w:smallCaps/>
      <w:noProof/>
      <w:sz w:val="20"/>
      <w:szCs w:val="20"/>
    </w:rPr>
  </w:style>
  <w:style w:type="paragraph" w:styleId="Obsah3">
    <w:name w:val="toc 3"/>
    <w:basedOn w:val="Normln"/>
    <w:next w:val="Normln"/>
    <w:autoRedefine/>
    <w:uiPriority w:val="99"/>
    <w:rsid w:val="00D67E10"/>
    <w:pPr>
      <w:tabs>
        <w:tab w:val="right" w:leader="underscore" w:pos="9062"/>
      </w:tabs>
      <w:ind w:left="480"/>
    </w:pPr>
    <w:rPr>
      <w:rFonts w:ascii="Calibri" w:hAnsi="Calibri"/>
      <w:iCs/>
      <w:noProof/>
      <w:sz w:val="20"/>
      <w:szCs w:val="20"/>
    </w:rPr>
  </w:style>
  <w:style w:type="character" w:styleId="Hypertextovodkaz">
    <w:name w:val="Hyperlink"/>
    <w:basedOn w:val="Standardnpsmoodstavce"/>
    <w:uiPriority w:val="99"/>
    <w:rsid w:val="00087CC9"/>
    <w:rPr>
      <w:rFonts w:cs="Times New Roman"/>
      <w:color w:val="0000FF"/>
      <w:u w:val="single"/>
    </w:rPr>
  </w:style>
  <w:style w:type="paragraph" w:styleId="Bezmezer">
    <w:name w:val="No Spacing"/>
    <w:uiPriority w:val="99"/>
    <w:qFormat/>
    <w:rsid w:val="004B4B8A"/>
    <w:rPr>
      <w:rFonts w:ascii="Times New Roman" w:hAnsi="Times New Roman"/>
      <w:sz w:val="24"/>
      <w:lang w:eastAsia="en-US"/>
    </w:rPr>
  </w:style>
  <w:style w:type="paragraph" w:styleId="Textpoznpodarou">
    <w:name w:val="footnote text"/>
    <w:basedOn w:val="Normln"/>
    <w:link w:val="TextpoznpodarouChar"/>
    <w:uiPriority w:val="99"/>
    <w:rsid w:val="009A014E"/>
    <w:pPr>
      <w:tabs>
        <w:tab w:val="left" w:pos="1134"/>
      </w:tabs>
      <w:spacing w:line="280" w:lineRule="atLeast"/>
    </w:pPr>
    <w:rPr>
      <w:rFonts w:ascii="Times New Roman" w:hAnsi="Times New Roman"/>
      <w:sz w:val="20"/>
      <w:szCs w:val="20"/>
      <w:lang w:eastAsia="cs-CZ"/>
    </w:rPr>
  </w:style>
  <w:style w:type="character" w:customStyle="1" w:styleId="TextpoznpodarouChar">
    <w:name w:val="Text pozn. pod čarou Char"/>
    <w:basedOn w:val="Standardnpsmoodstavce"/>
    <w:link w:val="Textpoznpodarou"/>
    <w:uiPriority w:val="99"/>
    <w:locked/>
    <w:rsid w:val="009A014E"/>
    <w:rPr>
      <w:rFonts w:ascii="Times New Roman" w:hAnsi="Times New Roman" w:cs="Times New Roman"/>
      <w:sz w:val="20"/>
    </w:rPr>
  </w:style>
  <w:style w:type="character" w:styleId="Znakapoznpodarou">
    <w:name w:val="footnote reference"/>
    <w:basedOn w:val="Standardnpsmoodstavce"/>
    <w:uiPriority w:val="99"/>
    <w:rsid w:val="009A014E"/>
    <w:rPr>
      <w:rFonts w:cs="Times New Roman"/>
      <w:vertAlign w:val="superscript"/>
    </w:rPr>
  </w:style>
  <w:style w:type="character" w:styleId="slostrnky">
    <w:name w:val="page number"/>
    <w:basedOn w:val="Standardnpsmoodstavce"/>
    <w:uiPriority w:val="99"/>
    <w:rsid w:val="009A014E"/>
    <w:rPr>
      <w:rFonts w:cs="Times New Roman"/>
    </w:rPr>
  </w:style>
  <w:style w:type="paragraph" w:styleId="Obsah4">
    <w:name w:val="toc 4"/>
    <w:basedOn w:val="Normln"/>
    <w:next w:val="Normln"/>
    <w:autoRedefine/>
    <w:uiPriority w:val="99"/>
    <w:locked/>
    <w:rsid w:val="002C1279"/>
    <w:pPr>
      <w:ind w:left="720"/>
    </w:pPr>
    <w:rPr>
      <w:rFonts w:ascii="Calibri" w:hAnsi="Calibri"/>
      <w:sz w:val="18"/>
      <w:szCs w:val="18"/>
    </w:rPr>
  </w:style>
  <w:style w:type="paragraph" w:styleId="Obsah5">
    <w:name w:val="toc 5"/>
    <w:basedOn w:val="Normln"/>
    <w:next w:val="Normln"/>
    <w:autoRedefine/>
    <w:uiPriority w:val="99"/>
    <w:locked/>
    <w:rsid w:val="002C1279"/>
    <w:pPr>
      <w:ind w:left="960"/>
    </w:pPr>
    <w:rPr>
      <w:rFonts w:ascii="Calibri" w:hAnsi="Calibri"/>
      <w:sz w:val="18"/>
      <w:szCs w:val="18"/>
    </w:rPr>
  </w:style>
  <w:style w:type="paragraph" w:styleId="Obsah6">
    <w:name w:val="toc 6"/>
    <w:basedOn w:val="Normln"/>
    <w:next w:val="Normln"/>
    <w:autoRedefine/>
    <w:uiPriority w:val="99"/>
    <w:locked/>
    <w:rsid w:val="002C1279"/>
    <w:pPr>
      <w:ind w:left="1200"/>
    </w:pPr>
    <w:rPr>
      <w:rFonts w:ascii="Calibri" w:hAnsi="Calibri"/>
      <w:sz w:val="18"/>
      <w:szCs w:val="18"/>
    </w:rPr>
  </w:style>
  <w:style w:type="paragraph" w:styleId="Obsah7">
    <w:name w:val="toc 7"/>
    <w:basedOn w:val="Normln"/>
    <w:next w:val="Normln"/>
    <w:autoRedefine/>
    <w:uiPriority w:val="99"/>
    <w:locked/>
    <w:rsid w:val="002C1279"/>
    <w:pPr>
      <w:ind w:left="1440"/>
    </w:pPr>
    <w:rPr>
      <w:rFonts w:ascii="Calibri" w:hAnsi="Calibri"/>
      <w:sz w:val="18"/>
      <w:szCs w:val="18"/>
    </w:rPr>
  </w:style>
  <w:style w:type="paragraph" w:styleId="Obsah8">
    <w:name w:val="toc 8"/>
    <w:basedOn w:val="Normln"/>
    <w:next w:val="Normln"/>
    <w:autoRedefine/>
    <w:uiPriority w:val="99"/>
    <w:locked/>
    <w:rsid w:val="002C1279"/>
    <w:pPr>
      <w:ind w:left="1680"/>
    </w:pPr>
    <w:rPr>
      <w:rFonts w:ascii="Calibri" w:hAnsi="Calibri"/>
      <w:sz w:val="18"/>
      <w:szCs w:val="18"/>
    </w:rPr>
  </w:style>
  <w:style w:type="paragraph" w:styleId="Obsah9">
    <w:name w:val="toc 9"/>
    <w:basedOn w:val="Normln"/>
    <w:next w:val="Normln"/>
    <w:autoRedefine/>
    <w:uiPriority w:val="99"/>
    <w:locked/>
    <w:rsid w:val="002C1279"/>
    <w:pPr>
      <w:ind w:left="1920"/>
    </w:pPr>
    <w:rPr>
      <w:rFonts w:ascii="Calibri" w:hAnsi="Calibri"/>
      <w:sz w:val="18"/>
      <w:szCs w:val="18"/>
    </w:rPr>
  </w:style>
  <w:style w:type="paragraph" w:styleId="Zhlav">
    <w:name w:val="header"/>
    <w:basedOn w:val="Normln"/>
    <w:link w:val="ZhlavChar"/>
    <w:uiPriority w:val="99"/>
    <w:locked/>
    <w:rsid w:val="006D4C21"/>
    <w:pPr>
      <w:tabs>
        <w:tab w:val="center" w:pos="4536"/>
        <w:tab w:val="right" w:pos="9072"/>
      </w:tabs>
    </w:pPr>
    <w:rPr>
      <w:rFonts w:ascii="Times New Roman" w:hAnsi="Times New Roman"/>
      <w:szCs w:val="20"/>
    </w:rPr>
  </w:style>
  <w:style w:type="character" w:customStyle="1" w:styleId="ZhlavChar">
    <w:name w:val="Záhlaví Char"/>
    <w:basedOn w:val="Standardnpsmoodstavce"/>
    <w:link w:val="Zhlav"/>
    <w:uiPriority w:val="99"/>
    <w:locked/>
    <w:rsid w:val="006D4C21"/>
    <w:rPr>
      <w:rFonts w:ascii="Times New Roman" w:hAnsi="Times New Roman" w:cs="Times New Roman"/>
      <w:sz w:val="24"/>
      <w:lang w:eastAsia="en-US"/>
    </w:rPr>
  </w:style>
  <w:style w:type="paragraph" w:customStyle="1" w:styleId="nadpiszkona">
    <w:name w:val="nadpis zákona"/>
    <w:basedOn w:val="Normln"/>
    <w:next w:val="Normln"/>
    <w:uiPriority w:val="99"/>
    <w:rsid w:val="00C35835"/>
    <w:pPr>
      <w:keepNext/>
      <w:keepLines/>
      <w:jc w:val="center"/>
      <w:outlineLvl w:val="0"/>
    </w:pPr>
    <w:rPr>
      <w:rFonts w:ascii="Times New Roman" w:eastAsia="Times New Roman" w:hAnsi="Times New Roman"/>
      <w:b/>
      <w:szCs w:val="20"/>
      <w:lang w:eastAsia="cs-CZ"/>
    </w:rPr>
  </w:style>
  <w:style w:type="paragraph" w:customStyle="1" w:styleId="Popisky">
    <w:name w:val="Popisky"/>
    <w:uiPriority w:val="99"/>
    <w:rsid w:val="000D7EB3"/>
    <w:rPr>
      <w:rFonts w:ascii="Arial" w:eastAsia="Times New Roman" w:hAnsi="Arial"/>
      <w:sz w:val="20"/>
      <w:szCs w:val="20"/>
    </w:rPr>
  </w:style>
  <w:style w:type="paragraph" w:styleId="Normlnweb">
    <w:name w:val="Normal (Web)"/>
    <w:basedOn w:val="Normln"/>
    <w:uiPriority w:val="99"/>
    <w:semiHidden/>
    <w:locked/>
    <w:rsid w:val="00041599"/>
    <w:pPr>
      <w:spacing w:before="100" w:beforeAutospacing="1" w:after="100" w:afterAutospacing="1"/>
      <w:jc w:val="left"/>
    </w:pPr>
    <w:rPr>
      <w:rFonts w:ascii="Times New Roman" w:eastAsia="Times New Roman" w:hAnsi="Times New Roman"/>
      <w:szCs w:val="24"/>
      <w:lang w:eastAsia="cs-CZ"/>
    </w:rPr>
  </w:style>
  <w:style w:type="character" w:styleId="Sledovanodkaz">
    <w:name w:val="FollowedHyperlink"/>
    <w:basedOn w:val="Standardnpsmoodstavce"/>
    <w:uiPriority w:val="99"/>
    <w:semiHidden/>
    <w:locked/>
    <w:rsid w:val="00CC6E1D"/>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656">
      <w:marLeft w:val="0"/>
      <w:marRight w:val="0"/>
      <w:marTop w:val="0"/>
      <w:marBottom w:val="0"/>
      <w:divBdr>
        <w:top w:val="none" w:sz="0" w:space="0" w:color="auto"/>
        <w:left w:val="none" w:sz="0" w:space="0" w:color="auto"/>
        <w:bottom w:val="none" w:sz="0" w:space="0" w:color="auto"/>
        <w:right w:val="none" w:sz="0" w:space="0" w:color="auto"/>
      </w:divBdr>
    </w:div>
    <w:div w:id="1193107657">
      <w:marLeft w:val="0"/>
      <w:marRight w:val="0"/>
      <w:marTop w:val="0"/>
      <w:marBottom w:val="0"/>
      <w:divBdr>
        <w:top w:val="none" w:sz="0" w:space="0" w:color="auto"/>
        <w:left w:val="none" w:sz="0" w:space="0" w:color="auto"/>
        <w:bottom w:val="none" w:sz="0" w:space="0" w:color="auto"/>
        <w:right w:val="none" w:sz="0" w:space="0" w:color="auto"/>
      </w:divBdr>
    </w:div>
    <w:div w:id="1193107658">
      <w:marLeft w:val="0"/>
      <w:marRight w:val="0"/>
      <w:marTop w:val="0"/>
      <w:marBottom w:val="0"/>
      <w:divBdr>
        <w:top w:val="none" w:sz="0" w:space="0" w:color="auto"/>
        <w:left w:val="none" w:sz="0" w:space="0" w:color="auto"/>
        <w:bottom w:val="none" w:sz="0" w:space="0" w:color="auto"/>
        <w:right w:val="none" w:sz="0" w:space="0" w:color="auto"/>
      </w:divBdr>
    </w:div>
    <w:div w:id="1193107659">
      <w:marLeft w:val="0"/>
      <w:marRight w:val="0"/>
      <w:marTop w:val="0"/>
      <w:marBottom w:val="0"/>
      <w:divBdr>
        <w:top w:val="none" w:sz="0" w:space="0" w:color="auto"/>
        <w:left w:val="none" w:sz="0" w:space="0" w:color="auto"/>
        <w:bottom w:val="none" w:sz="0" w:space="0" w:color="auto"/>
        <w:right w:val="none" w:sz="0" w:space="0" w:color="auto"/>
      </w:divBdr>
      <w:divsChild>
        <w:div w:id="1193107673">
          <w:marLeft w:val="1166"/>
          <w:marRight w:val="0"/>
          <w:marTop w:val="134"/>
          <w:marBottom w:val="0"/>
          <w:divBdr>
            <w:top w:val="none" w:sz="0" w:space="0" w:color="auto"/>
            <w:left w:val="none" w:sz="0" w:space="0" w:color="auto"/>
            <w:bottom w:val="none" w:sz="0" w:space="0" w:color="auto"/>
            <w:right w:val="none" w:sz="0" w:space="0" w:color="auto"/>
          </w:divBdr>
        </w:div>
        <w:div w:id="1193107674">
          <w:marLeft w:val="533"/>
          <w:marRight w:val="0"/>
          <w:marTop w:val="154"/>
          <w:marBottom w:val="0"/>
          <w:divBdr>
            <w:top w:val="none" w:sz="0" w:space="0" w:color="auto"/>
            <w:left w:val="none" w:sz="0" w:space="0" w:color="auto"/>
            <w:bottom w:val="none" w:sz="0" w:space="0" w:color="auto"/>
            <w:right w:val="none" w:sz="0" w:space="0" w:color="auto"/>
          </w:divBdr>
        </w:div>
      </w:divsChild>
    </w:div>
    <w:div w:id="1193107660">
      <w:marLeft w:val="0"/>
      <w:marRight w:val="0"/>
      <w:marTop w:val="0"/>
      <w:marBottom w:val="0"/>
      <w:divBdr>
        <w:top w:val="none" w:sz="0" w:space="0" w:color="auto"/>
        <w:left w:val="none" w:sz="0" w:space="0" w:color="auto"/>
        <w:bottom w:val="none" w:sz="0" w:space="0" w:color="auto"/>
        <w:right w:val="none" w:sz="0" w:space="0" w:color="auto"/>
      </w:divBdr>
    </w:div>
    <w:div w:id="1193107661">
      <w:marLeft w:val="0"/>
      <w:marRight w:val="0"/>
      <w:marTop w:val="0"/>
      <w:marBottom w:val="0"/>
      <w:divBdr>
        <w:top w:val="none" w:sz="0" w:space="0" w:color="auto"/>
        <w:left w:val="none" w:sz="0" w:space="0" w:color="auto"/>
        <w:bottom w:val="none" w:sz="0" w:space="0" w:color="auto"/>
        <w:right w:val="none" w:sz="0" w:space="0" w:color="auto"/>
      </w:divBdr>
    </w:div>
    <w:div w:id="1193107662">
      <w:marLeft w:val="0"/>
      <w:marRight w:val="0"/>
      <w:marTop w:val="0"/>
      <w:marBottom w:val="0"/>
      <w:divBdr>
        <w:top w:val="none" w:sz="0" w:space="0" w:color="auto"/>
        <w:left w:val="none" w:sz="0" w:space="0" w:color="auto"/>
        <w:bottom w:val="none" w:sz="0" w:space="0" w:color="auto"/>
        <w:right w:val="none" w:sz="0" w:space="0" w:color="auto"/>
      </w:divBdr>
    </w:div>
    <w:div w:id="1193107663">
      <w:marLeft w:val="0"/>
      <w:marRight w:val="0"/>
      <w:marTop w:val="0"/>
      <w:marBottom w:val="0"/>
      <w:divBdr>
        <w:top w:val="none" w:sz="0" w:space="0" w:color="auto"/>
        <w:left w:val="none" w:sz="0" w:space="0" w:color="auto"/>
        <w:bottom w:val="none" w:sz="0" w:space="0" w:color="auto"/>
        <w:right w:val="none" w:sz="0" w:space="0" w:color="auto"/>
      </w:divBdr>
    </w:div>
    <w:div w:id="1193107664">
      <w:marLeft w:val="0"/>
      <w:marRight w:val="0"/>
      <w:marTop w:val="0"/>
      <w:marBottom w:val="0"/>
      <w:divBdr>
        <w:top w:val="none" w:sz="0" w:space="0" w:color="auto"/>
        <w:left w:val="none" w:sz="0" w:space="0" w:color="auto"/>
        <w:bottom w:val="none" w:sz="0" w:space="0" w:color="auto"/>
        <w:right w:val="none" w:sz="0" w:space="0" w:color="auto"/>
      </w:divBdr>
    </w:div>
    <w:div w:id="1193107665">
      <w:marLeft w:val="0"/>
      <w:marRight w:val="0"/>
      <w:marTop w:val="0"/>
      <w:marBottom w:val="0"/>
      <w:divBdr>
        <w:top w:val="none" w:sz="0" w:space="0" w:color="auto"/>
        <w:left w:val="none" w:sz="0" w:space="0" w:color="auto"/>
        <w:bottom w:val="none" w:sz="0" w:space="0" w:color="auto"/>
        <w:right w:val="none" w:sz="0" w:space="0" w:color="auto"/>
      </w:divBdr>
    </w:div>
    <w:div w:id="1193107666">
      <w:marLeft w:val="0"/>
      <w:marRight w:val="0"/>
      <w:marTop w:val="0"/>
      <w:marBottom w:val="0"/>
      <w:divBdr>
        <w:top w:val="none" w:sz="0" w:space="0" w:color="auto"/>
        <w:left w:val="none" w:sz="0" w:space="0" w:color="auto"/>
        <w:bottom w:val="none" w:sz="0" w:space="0" w:color="auto"/>
        <w:right w:val="none" w:sz="0" w:space="0" w:color="auto"/>
      </w:divBdr>
    </w:div>
    <w:div w:id="1193107667">
      <w:marLeft w:val="0"/>
      <w:marRight w:val="0"/>
      <w:marTop w:val="0"/>
      <w:marBottom w:val="0"/>
      <w:divBdr>
        <w:top w:val="none" w:sz="0" w:space="0" w:color="auto"/>
        <w:left w:val="none" w:sz="0" w:space="0" w:color="auto"/>
        <w:bottom w:val="none" w:sz="0" w:space="0" w:color="auto"/>
        <w:right w:val="none" w:sz="0" w:space="0" w:color="auto"/>
      </w:divBdr>
    </w:div>
    <w:div w:id="1193107668">
      <w:marLeft w:val="0"/>
      <w:marRight w:val="0"/>
      <w:marTop w:val="0"/>
      <w:marBottom w:val="0"/>
      <w:divBdr>
        <w:top w:val="none" w:sz="0" w:space="0" w:color="auto"/>
        <w:left w:val="none" w:sz="0" w:space="0" w:color="auto"/>
        <w:bottom w:val="none" w:sz="0" w:space="0" w:color="auto"/>
        <w:right w:val="none" w:sz="0" w:space="0" w:color="auto"/>
      </w:divBdr>
    </w:div>
    <w:div w:id="1193107669">
      <w:marLeft w:val="0"/>
      <w:marRight w:val="0"/>
      <w:marTop w:val="0"/>
      <w:marBottom w:val="0"/>
      <w:divBdr>
        <w:top w:val="none" w:sz="0" w:space="0" w:color="auto"/>
        <w:left w:val="none" w:sz="0" w:space="0" w:color="auto"/>
        <w:bottom w:val="none" w:sz="0" w:space="0" w:color="auto"/>
        <w:right w:val="none" w:sz="0" w:space="0" w:color="auto"/>
      </w:divBdr>
    </w:div>
    <w:div w:id="1193107670">
      <w:marLeft w:val="0"/>
      <w:marRight w:val="0"/>
      <w:marTop w:val="0"/>
      <w:marBottom w:val="0"/>
      <w:divBdr>
        <w:top w:val="none" w:sz="0" w:space="0" w:color="auto"/>
        <w:left w:val="none" w:sz="0" w:space="0" w:color="auto"/>
        <w:bottom w:val="none" w:sz="0" w:space="0" w:color="auto"/>
        <w:right w:val="none" w:sz="0" w:space="0" w:color="auto"/>
      </w:divBdr>
    </w:div>
    <w:div w:id="1193107671">
      <w:marLeft w:val="0"/>
      <w:marRight w:val="0"/>
      <w:marTop w:val="0"/>
      <w:marBottom w:val="0"/>
      <w:divBdr>
        <w:top w:val="none" w:sz="0" w:space="0" w:color="auto"/>
        <w:left w:val="none" w:sz="0" w:space="0" w:color="auto"/>
        <w:bottom w:val="none" w:sz="0" w:space="0" w:color="auto"/>
        <w:right w:val="none" w:sz="0" w:space="0" w:color="auto"/>
      </w:divBdr>
    </w:div>
    <w:div w:id="1193107672">
      <w:marLeft w:val="0"/>
      <w:marRight w:val="0"/>
      <w:marTop w:val="0"/>
      <w:marBottom w:val="0"/>
      <w:divBdr>
        <w:top w:val="none" w:sz="0" w:space="0" w:color="auto"/>
        <w:left w:val="none" w:sz="0" w:space="0" w:color="auto"/>
        <w:bottom w:val="none" w:sz="0" w:space="0" w:color="auto"/>
        <w:right w:val="none" w:sz="0" w:space="0" w:color="auto"/>
      </w:divBdr>
    </w:div>
    <w:div w:id="1193107675">
      <w:marLeft w:val="0"/>
      <w:marRight w:val="0"/>
      <w:marTop w:val="0"/>
      <w:marBottom w:val="0"/>
      <w:divBdr>
        <w:top w:val="none" w:sz="0" w:space="0" w:color="auto"/>
        <w:left w:val="none" w:sz="0" w:space="0" w:color="auto"/>
        <w:bottom w:val="none" w:sz="0" w:space="0" w:color="auto"/>
        <w:right w:val="none" w:sz="0" w:space="0" w:color="auto"/>
      </w:divBdr>
    </w:div>
    <w:div w:id="157778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tax/action-plan-on-base-erosion-and-profit-shifting-9789264202719-en.htm" TargetMode="External"/><Relationship Id="rId7" Type="http://schemas.openxmlformats.org/officeDocument/2006/relationships/hyperlink" Target="https://ideas.repec.org/p/zbw/vfsc14/100405.html" TargetMode="External"/><Relationship Id="rId2" Type="http://schemas.openxmlformats.org/officeDocument/2006/relationships/hyperlink" Target="http://www.oecd.org/tax/addressing-base-erosion-and-profit-shifting-9789264192744-en.htm" TargetMode="External"/><Relationship Id="rId1" Type="http://schemas.openxmlformats.org/officeDocument/2006/relationships/hyperlink" Target="http://www.oecd.org/tax/measuring-and-monitoring-beps-action-11-2015-final-report-9789264241343-en.htm" TargetMode="External"/><Relationship Id="rId6" Type="http://schemas.openxmlformats.org/officeDocument/2006/relationships/hyperlink" Target="http://papers.ssrn.com/sol3/papers.cfm?abstract_id=1889963" TargetMode="External"/><Relationship Id="rId5" Type="http://schemas.openxmlformats.org/officeDocument/2006/relationships/hyperlink" Target="http://europa.eu/rapid/press-release_IP-16-159_cs.htm" TargetMode="External"/><Relationship Id="rId4" Type="http://schemas.openxmlformats.org/officeDocument/2006/relationships/hyperlink" Target="http://www.oecd.org/tax/aggressive/beps-2015-final-repor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11476</Words>
  <Characters>65415</Characters>
  <Application>Microsoft Office Word</Application>
  <DocSecurity>0</DocSecurity>
  <Lines>545</Lines>
  <Paragraphs>153</Paragraphs>
  <ScaleCrop>false</ScaleCrop>
  <HeadingPairs>
    <vt:vector size="2" baseType="variant">
      <vt:variant>
        <vt:lpstr>Název</vt:lpstr>
      </vt:variant>
      <vt:variant>
        <vt:i4>1</vt:i4>
      </vt:variant>
    </vt:vector>
  </HeadingPairs>
  <TitlesOfParts>
    <vt:vector size="1" baseType="lpstr">
      <vt:lpstr>Návrh na úpravu zákona č</vt:lpstr>
    </vt:vector>
  </TitlesOfParts>
  <Company>Ministerstvo financí</Company>
  <LinksUpToDate>false</LinksUpToDate>
  <CharactersWithSpaces>76738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úpravu zákona č</dc:title>
  <dc:creator>Bachor Vlastimil, Ing.</dc:creator>
  <cp:lastModifiedBy>Kouba Stanislav Mgr.</cp:lastModifiedBy>
  <cp:revision>2</cp:revision>
  <cp:lastPrinted>2016-03-16T13:20:00Z</cp:lastPrinted>
  <dcterms:created xsi:type="dcterms:W3CDTF">2016-04-18T07:54:00Z</dcterms:created>
  <dcterms:modified xsi:type="dcterms:W3CDTF">2016-04-18T07:54:00Z</dcterms:modified>
</cp:coreProperties>
</file>